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A1176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657C8EE4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отношении муниципальных объектов коммунальной инфраструктуры, предназначенных для водоснабжения потребителей </w:t>
      </w:r>
      <w:proofErr w:type="spellStart"/>
      <w:r>
        <w:rPr>
          <w:rFonts w:ascii="Times New Roman" w:hAnsi="Times New Roman"/>
          <w:b/>
          <w:sz w:val="24"/>
          <w:szCs w:val="24"/>
        </w:rPr>
        <w:t>п.ст</w:t>
      </w:r>
      <w:proofErr w:type="spellEnd"/>
      <w:r>
        <w:rPr>
          <w:rFonts w:ascii="Times New Roman" w:hAnsi="Times New Roman"/>
          <w:b/>
          <w:sz w:val="24"/>
          <w:szCs w:val="24"/>
        </w:rPr>
        <w:t>. Билитуй</w:t>
      </w:r>
    </w:p>
    <w:p w14:paraId="7682B56A" w14:textId="77777777" w:rsidR="00AF6460" w:rsidRDefault="00AF6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7695A0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Чита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ab/>
        <w:t>«_____»_____________2025 года</w:t>
      </w:r>
    </w:p>
    <w:p w14:paraId="5356E72D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F9133" w14:textId="77777777" w:rsidR="00AF6460" w:rsidRDefault="002E22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 одной стороны</w:t>
      </w:r>
      <w:r>
        <w:rPr>
          <w:rFonts w:ascii="Times New Roman" w:hAnsi="Times New Roman"/>
          <w:b/>
          <w:sz w:val="24"/>
          <w:szCs w:val="24"/>
        </w:rPr>
        <w:t>, Акционерное общество «</w:t>
      </w:r>
      <w:proofErr w:type="spellStart"/>
      <w:r>
        <w:rPr>
          <w:rFonts w:ascii="Times New Roman" w:hAnsi="Times New Roman"/>
          <w:b/>
          <w:sz w:val="24"/>
          <w:szCs w:val="24"/>
        </w:rPr>
        <w:t>Читаэнергосбыт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«Концессионер»</w:t>
      </w:r>
      <w:r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b/>
          <w:sz w:val="24"/>
          <w:szCs w:val="24"/>
        </w:rPr>
        <w:t>Забайкальский край</w:t>
      </w:r>
      <w:r>
        <w:rPr>
          <w:rFonts w:ascii="Times New Roman" w:hAnsi="Times New Roman"/>
          <w:sz w:val="24"/>
          <w:szCs w:val="24"/>
        </w:rPr>
        <w:t xml:space="preserve">, от имени которого выступает Губернатор Забайкальского края Осипов Александр Михайлович, действующий на основании Устава, именуемый в дальнейшем </w:t>
      </w:r>
      <w:r>
        <w:rPr>
          <w:rFonts w:ascii="Times New Roman" w:hAnsi="Times New Roman"/>
          <w:b/>
          <w:sz w:val="24"/>
          <w:szCs w:val="24"/>
        </w:rPr>
        <w:t>«Субъект РФ»</w:t>
      </w:r>
      <w:r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использования муниципального имущества заключили настоящее концессионное соглашение (далее –«</w:t>
      </w:r>
      <w:r>
        <w:rPr>
          <w:rFonts w:ascii="Times New Roman" w:eastAsia="Times New Roman" w:hAnsi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4CA221ED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02FC571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Концессионер обязуется за свой счет создать (или) реконструировать объекты коммунальной инфраструктуры, состав и описание которых приведены в разделе 2 настоящего Соглашения (далее – Объект(ы) Соглашения), право собственности на которые принадлежит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, и осуществлять с использованием Объекта Соглашения подготовку, передачу, распределение водоснабжения потребителям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п.ст</w:t>
      </w:r>
      <w:proofErr w:type="spellEnd"/>
      <w:r>
        <w:rPr>
          <w:rFonts w:ascii="Times New Roman" w:hAnsi="Times New Roman"/>
          <w:sz w:val="24"/>
          <w:szCs w:val="24"/>
        </w:rPr>
        <w:t xml:space="preserve">. Билитуй,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</w:p>
    <w:p w14:paraId="25A6E17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0E240AE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целевого назначения реконструируемых Объектов Соглашения не допускается.</w:t>
      </w:r>
    </w:p>
    <w:p w14:paraId="17C29EF4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58AD1E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04F60D6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Объектом Соглашения является </w:t>
      </w:r>
      <w:proofErr w:type="gramStart"/>
      <w:r>
        <w:rPr>
          <w:rFonts w:ascii="Times New Roman" w:hAnsi="Times New Roman"/>
          <w:sz w:val="24"/>
          <w:szCs w:val="24"/>
        </w:rPr>
        <w:t>совокупность объектов коммунальной инфраструктуры водоснабжения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предназначенных для осуществления деятельности, указанной в пункте 1.1 настоящего Соглашения.</w:t>
      </w:r>
    </w:p>
    <w:p w14:paraId="6E6CD00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передать, а Концессионер обязуется принять имущество, указанное в Приложении 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sz w:val="24"/>
            <w:szCs w:val="24"/>
          </w:rPr>
          <w:t>№1</w:t>
        </w:r>
      </w:hyperlink>
      <w:r>
        <w:rPr>
          <w:rFonts w:ascii="Times New Roman" w:hAnsi="Times New Roman"/>
          <w:sz w:val="24"/>
          <w:szCs w:val="24"/>
        </w:rPr>
        <w:t xml:space="preserve">,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 которого также указаны в Приложении №1, в срок, установленный в пункте 10.4. настоящего Соглашения. </w:t>
      </w:r>
    </w:p>
    <w:p w14:paraId="5F76864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недвижимого и движимого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дату заключения настоящего Соглашения, приведено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610AE9F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заключения настоящего Соглашения имущество, указанное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является собственностью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подтверждается соответствующими документами о праве собственности (свидетельствами, выписками из ГКН, ЕГРН, </w:t>
      </w:r>
      <w:r>
        <w:rPr>
          <w:rFonts w:ascii="Times New Roman" w:hAnsi="Times New Roman"/>
          <w:sz w:val="24"/>
          <w:szCs w:val="24"/>
        </w:rPr>
        <w:lastRenderedPageBreak/>
        <w:t xml:space="preserve">выписками из реестра муниципальной собственности и т.п.).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документах, указаны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ABDEF0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</w:t>
      </w:r>
    </w:p>
    <w:p w14:paraId="63880B5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во владение и пользование Концессионера имущество, принадлежащее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</w:p>
    <w:p w14:paraId="752868D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 должно использоваться Концессионером в течение срока действия настоящего Соглашения, за исключением случаев вывода объектов иного имущества из эксплуатации в соответствии с условиями Соглашения.</w:t>
      </w:r>
    </w:p>
    <w:p w14:paraId="2A4BD91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имущество, за исключением объектов, выведенных Концессионером из эксплуатации, подлежит возврату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прекращении настоящего Соглашения.</w:t>
      </w:r>
    </w:p>
    <w:p w14:paraId="3AD3923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Задание и основные мероприятия по созданию и (или) реконструкции имущества в составе Объектов Соглашения в течение срока действия настоящего Соглашения и источники инвестиций, привлекаемых для 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(тарифов), и указываются в </w:t>
      </w:r>
      <w:hyperlink w:anchor="Приложение5" w:tooltip="#Приложение5" w:history="1">
        <w:r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4 к настоящему Соглашению.</w:t>
      </w:r>
    </w:p>
    <w:p w14:paraId="619DC39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Описание объектов водоснабжения, указанных в пункте 2.1 настоящего Соглашения, в том числе технико-экономические показатели, техническое состояние, приведены в </w:t>
      </w: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7C654FB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Схемы сетей водоснабжения с указанием границ эксплуатационной ответственности и балансовой принадлежности приведены в Приложении № 10. В случае возникновения споров, касающихся обслуживания указанных сетей, Стороны руководствуются данными схемами.</w:t>
      </w:r>
    </w:p>
    <w:p w14:paraId="55B12EB3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595A7A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передачи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Концессионеру имущества </w:t>
      </w:r>
    </w:p>
    <w:p w14:paraId="43F0BEC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</w:p>
    <w:p w14:paraId="05D4BF6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передаваемое имущество находится в исправном работоспособном состоянии, пригодном для его надлежащей эксплуатации и использования.</w:t>
      </w:r>
    </w:p>
    <w:p w14:paraId="4DC0833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передача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объектов, указанных в разделе 2 настоящего Соглашения, осуществляется по Акту приёма-передачи по форме согласно </w:t>
      </w: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подписываемому Сторонами. </w:t>
      </w:r>
    </w:p>
    <w:p w14:paraId="6D771E9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несет ответственность за достоверность информации, указанной в Акте приёма-передачи имущества. </w:t>
      </w:r>
    </w:p>
    <w:p w14:paraId="0DDE3F0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имущества считается исполненной после подписания Сторонами Акта приёма-передачи и государственной регистрации прав Концессионера. </w:t>
      </w:r>
    </w:p>
    <w:p w14:paraId="2223FEC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Объектов Соглашения, считается исполненной после подписания Сторонами Акта приёма-передачи.</w:t>
      </w:r>
    </w:p>
    <w:p w14:paraId="59F1E3F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Соглашения, необходимые для исполнения настоящего Соглашения, находящиеся (имеющиеся) в его распоряжении, а именно: проектную, рабочую, исполнительную документацию, заводские паспорта и инструкции на оборудование, кадастровые и технические паспорта на здания и сооружения, документы, необходимые для исполнения Концессионером обязанности, предусмотренной пунктом 6.7. настоящего Соглашения и т.д.</w:t>
      </w:r>
    </w:p>
    <w:p w14:paraId="2FC38C7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случае, если какие-то из документов отсутствуют у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могут быть им получены в разумные сроки (не более 6 (шести) месяцев), то Концессионер вправе:</w:t>
      </w:r>
    </w:p>
    <w:p w14:paraId="7BF0963B" w14:textId="77777777" w:rsidR="00AF6460" w:rsidRDefault="002E22A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расходов на изготовление или получение таких документов в случае, если указанные расходы в соответствии с законодательством РФ не подлежат учету при установлении тарифов, при этом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 не позднее 6 (шести) месяцев с момента получения соответствующего требования Концессионера; </w:t>
      </w:r>
    </w:p>
    <w:p w14:paraId="57C04FF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изменения сроков реализации мероприятий, предусмотренных Заданием и основными мероприятиями, если отсутствие необходимых документов не позволяет Концессионеру реализовать мероприятия в определенные сторонами сроки.</w:t>
      </w:r>
    </w:p>
    <w:p w14:paraId="07C7A9C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Стороны обязуются осуществить действия, необходимые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11C9910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Государственная регистрация указанных в пункте 3.1 настоящего Соглашения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расходы.</w:t>
      </w:r>
    </w:p>
    <w:p w14:paraId="7CCDDA4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003B2DE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Стороны, если иное не предусмотрено законом, в течение срока действия настоящего Соглашения вправе вносить изменения в состав и описание Объекта Соглашения и иного имущества, переданного по настоящему соглашению, а именно:</w:t>
      </w:r>
    </w:p>
    <w:p w14:paraId="795DEB6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Объектом Соглашения и (или) иным имуществом и (или) предназначено для использования по общему назначению для осуществления Концессионером деятельности, указанной в пункте 1.1 настоящего Соглашения;</w:t>
      </w:r>
    </w:p>
    <w:p w14:paraId="231C0C5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исключать из состава Объекта Соглашения и иного имущества морально устаревшее и (или) физически изношенное имущество, не используемое для осуществления деятельности, указанной в пункте 1.1. настоящего Соглашения.</w:t>
      </w:r>
    </w:p>
    <w:p w14:paraId="0611F92A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908364" w14:textId="77777777" w:rsidR="00AF6460" w:rsidRDefault="002E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Обязанности Концессионера 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50D89F1" w14:textId="77777777" w:rsidR="00AF6460" w:rsidRDefault="002E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реконструкции Объекта Соглашения.</w:t>
      </w:r>
    </w:p>
    <w:p w14:paraId="4371AAB5" w14:textId="77777777" w:rsidR="00AF6460" w:rsidRDefault="002E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 инвестиций по Соглашению</w:t>
      </w:r>
    </w:p>
    <w:p w14:paraId="7AAEB88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Концессионер обязан:</w:t>
      </w:r>
    </w:p>
    <w:p w14:paraId="1BE9AD3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 свой счет создать и (или) реконструировать Объекты Соглашения (имущество, входящее в состав Объектов Соглашения) в соответствии с Заданием и основными мероприятиями по созданию и (или) реконструкции имущества в составе Объектов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Fonts w:ascii="Times New Roman" w:hAnsi="Times New Roman"/>
          <w:sz w:val="24"/>
          <w:szCs w:val="24"/>
        </w:rPr>
        <w:t>4).</w:t>
      </w:r>
    </w:p>
    <w:p w14:paraId="6EA619C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вправе привлекать к выполнению работ по созданию и (или) реконструкции Объекта Соглашения третьих лиц в рамках обеспечения деятельности Концессионера, предусмотренной в пункте 1.1 настоящего Соглашения.</w:t>
      </w:r>
    </w:p>
    <w:p w14:paraId="7537AD2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обеспечить осуществление инженерных изысканий и осуществить проектирование по созданию и (или) реконструкции Объекта Соглашения.</w:t>
      </w:r>
    </w:p>
    <w:p w14:paraId="73F9898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документация должна быть согласована и утверждена в порядке, установленном законодательством РФ, а также соответствовать требованиям, предъявляемым к Объекту Соглашения правилами СНИП, ГОСТ. В случае если это предусмотрено законодательством проектная документация должна иметь положительное заключение государственной экспертизы, соответствовать иным нормам действующего законодательства РФ, а также Заданию и основным мероприятиям по реконструкции </w:t>
      </w:r>
      <w:r>
        <w:rPr>
          <w:rFonts w:ascii="Times New Roman" w:hAnsi="Times New Roman"/>
          <w:sz w:val="24"/>
          <w:szCs w:val="24"/>
        </w:rPr>
        <w:lastRenderedPageBreak/>
        <w:t>имущества в составе Объекта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>
        <w:rPr>
          <w:rFonts w:ascii="Times New Roman" w:hAnsi="Times New Roman"/>
          <w:sz w:val="24"/>
          <w:szCs w:val="24"/>
        </w:rPr>
        <w:t xml:space="preserve"> № 4). Государственная экспертиза проектной документации осуществляется за счёт Концессионера;</w:t>
      </w:r>
    </w:p>
    <w:p w14:paraId="471ED9D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за свой счет обеспечить подготовку территории, необходимой для реконструкции Объекта Соглашения, для осуществления деятельности, предусмотренной настоящим Соглашением, в соответствии с действующим законодательством;</w:t>
      </w:r>
    </w:p>
    <w:p w14:paraId="0597CB1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немедленно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об обстоятельствах, которые не зависят от Сторон и делают невозможным создание и (или) реконструкцию и (или) 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настоящего Соглашения;</w:t>
      </w:r>
    </w:p>
    <w:p w14:paraId="2B5653B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 обеспечить ввод в эксплуатацию Объекта Соглашения (объектов, подлежащих созданию и (или) реконструкции, входящих в состав Объекта Соглашения) в порядке, установленном законодательством РФ, в сроки, предусмотренные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29D5AB8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4.1.6. нести расходы по государственной регистрации прав собственности на объекты недвижимого имущества, реконструированные в рамках настоящего Соглашения и относящееся к Объекту Соглашения, объекты недвижимого имущества, созданные в соответствии с пунктом 6.6 настоящего Соглашения, а также расходы по государственной регистрации прав владения и пользования имуществом, переданным Концессионеру </w:t>
      </w:r>
      <w:r>
        <w:rPr>
          <w:rFonts w:ascii="Times New Roman" w:hAnsi="Times New Roman"/>
          <w:sz w:val="24"/>
          <w:szCs w:val="24"/>
        </w:rPr>
        <w:br/>
        <w:t xml:space="preserve">по настоящему </w:t>
      </w:r>
      <w:proofErr w:type="spellStart"/>
      <w:r>
        <w:rPr>
          <w:rFonts w:ascii="Times New Roman" w:hAnsi="Times New Roman"/>
          <w:sz w:val="24"/>
          <w:szCs w:val="24"/>
        </w:rPr>
        <w:t>Cоглашению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2342E7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CA430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обязан:</w:t>
      </w:r>
    </w:p>
    <w:p w14:paraId="4E7941D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 сроки и в порядке, предусмотренные настоящим Соглашением, предоставить во владение и пользование Концессионера Объекты Соглашения, а также земельные участки в соответствии с разделом 5 настоящего Соглашения;</w:t>
      </w:r>
    </w:p>
    <w:p w14:paraId="1CDFFC6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обеспечить Концессионеру необходимые условия для выполнения работ по созданию и (или) реконструкции Объекта Соглашения (объектов водоснабжения,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57E385D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осуществить действия по предоставлению земельных участков, необходимых для создания и (или) реконструкции Объекта Соглашения;</w:t>
      </w:r>
    </w:p>
    <w:p w14:paraId="4E9345D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оказать содействие Концессионеру в подготовке территории, необходимой для создания и (или) реконструкции Объекта Соглашения;</w:t>
      </w:r>
    </w:p>
    <w:p w14:paraId="02EAA7F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 пределах своих полномочий оказывать Концессионеру необходимое содействие при выполнении работ по созданию и (или) реконструкции Объекта Соглашения (объектов водоснабжения, в состав которых входит недвижимое и движимое имущество);</w:t>
      </w:r>
    </w:p>
    <w:p w14:paraId="7F3B63C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осуществлять рассмотрение, согласование и (или) утверждение и подписание документов (проектов, разрешений, ордеров и т.п.) и их выдачу, в отношении которых в соответствии с настоящим Соглашением такие 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(или) его структурных подразделений необходимы в соответствии с нормами действующего законодательства РФ, а также нормативно правовых актов субъекта РФ и (или) муниципального образования;</w:t>
      </w:r>
    </w:p>
    <w:p w14:paraId="2470E04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Стороны совместно обязуются осуществить действия, необходимые для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созданное и (или) реконструированное в рамках настоящего Соглашения недвижимое имущество, относящееся к Объекту Соглашения, а также прав владения и пользования Концессионера указанным имуществом, в том числе:</w:t>
      </w:r>
    </w:p>
    <w:p w14:paraId="1959F4A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проектную, исполнительную и иную документацию, необходимую для технической инвентаризации и кадастрового учёта реконструированных объектов;</w:t>
      </w:r>
    </w:p>
    <w:p w14:paraId="2B0BFFE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 действия по технической инвентаризации и кадастровому учёту реконструированных объектов и обеспечивает государственную регистрацию прав муниципальной собственности на реконструированные объекты, в сроки, предусмотренные положениями действующего законодательства РФ;</w:t>
      </w:r>
    </w:p>
    <w:p w14:paraId="06658BE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совместно оформляют права на владение и пользование реконструированным имуществом на условиях настоящего Соглашения в органах государственной регистрации.</w:t>
      </w:r>
    </w:p>
    <w:p w14:paraId="00B4D2D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Перечень мероприятий по созданию и (или) реконструкции в отношении Объекта Соглашения является основанием для включения в Инвестиционные программы Концессионера, утверждаемые в порядке, установленном законодательством Российской Федерации в сфере регулирования цен (тарифов).</w:t>
      </w:r>
    </w:p>
    <w:p w14:paraId="340A6019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4.5. Предельный размер расходов на создание и (или) реконструкцию Объекта Соглашения, осуществляемых в течение всего срока действия Соглашения Концессионером,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учета расходов, источником финансирования которых является плата за подключение (технологическое присоединение), равен 745 081 (семьсот сорок пять тысяч восемьдесят один) </w:t>
      </w:r>
      <w:r>
        <w:rPr>
          <w:rFonts w:ascii="Times New Roman" w:hAnsi="Times New Roman"/>
          <w:bCs/>
          <w:sz w:val="24"/>
          <w:szCs w:val="24"/>
        </w:rPr>
        <w:t xml:space="preserve">рубль 67 копеек,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учёта НДС. </w:t>
      </w:r>
    </w:p>
    <w:p w14:paraId="0D156392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Концессионером в целях создания и (или) реконструкции Объекта Соглашения, указывается в Приложении № 4 к настоящему Соглашению.</w:t>
      </w:r>
    </w:p>
    <w:p w14:paraId="089997C5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досрочном прекращении действия Соглашения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возврат Концессионеру инвестированного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эксплуатации Объекта Соглашения.</w:t>
      </w:r>
    </w:p>
    <w:p w14:paraId="0760137C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4.7. Завершение Концессионером работ по созданию и (или) реконструкции Объекта Соглашения, предусмотренных Соглашением на соответствующий год, оформляется ежегодно подписываемым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созданию и (или) реконструкции Объекта Соглашения, завершенных на конец отчетного финансового года, а также сведения о технических характеристиках и достигнутых показателях.</w:t>
      </w:r>
    </w:p>
    <w:p w14:paraId="0BD82CA4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tooltip="#Приложение9" w:history="1">
        <w:r>
          <w:rPr>
            <w:rStyle w:val="af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>
        <w:rPr>
          <w:rStyle w:val="af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Соглашению, и предоставляется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ежегодно, в срок до 20 апреля года, следующего за отчетным.</w:t>
      </w:r>
    </w:p>
    <w:p w14:paraId="7F354E54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разногласий по предоставленному Отчету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</w:p>
    <w:p w14:paraId="3B0ADE4B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Концессионеру мотивированные возражения в течение 30 (тридцати) календарных дней. </w:t>
      </w:r>
    </w:p>
    <w:p w14:paraId="2AFEC986" w14:textId="77777777" w:rsidR="00AF6460" w:rsidRDefault="002E22A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4.8. После завершения работ по созданию и (или) реконструкции Объекта Соглашения, в рамках выполнения инвестиционной программы и при условии выполнения пункта 4.7 настоящего Соглашения,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также его технических, инвентарных, кадастровых и иных характеристик Объектов Соглашения.</w:t>
      </w:r>
    </w:p>
    <w:p w14:paraId="0B85F133" w14:textId="77777777" w:rsidR="00AF6460" w:rsidRDefault="002E22A9">
      <w:pPr>
        <w:pStyle w:val="110"/>
        <w:spacing w:before="0" w:after="0"/>
        <w:ind w:left="0" w:firstLine="567"/>
      </w:pPr>
      <w:r>
        <w:t xml:space="preserve">4.9. После проведения работ, в ходе которых производится замена имущества, находящегося на переданном Объекте, Концессионер и </w:t>
      </w:r>
      <w:proofErr w:type="spellStart"/>
      <w:r>
        <w:t>Концедент</w:t>
      </w:r>
      <w:proofErr w:type="spellEnd"/>
      <w:r>
        <w:t xml:space="preserve"> совместно составляют Акт о выявлении остатков. В акте указываются остатки выявленного имущества, процент износа и определяется имущественная ценность. В случае если оставшееся имущество не представляет ценности, оно утилизируется за счет Концессионера. В случае если </w:t>
      </w:r>
      <w:proofErr w:type="spellStart"/>
      <w:r>
        <w:t>Концедент</w:t>
      </w:r>
      <w:proofErr w:type="spellEnd"/>
      <w:r>
        <w:t xml:space="preserve"> не согласен с утилизацией выявленного имущества, </w:t>
      </w:r>
      <w:proofErr w:type="spellStart"/>
      <w:r>
        <w:t>Концедент</w:t>
      </w:r>
      <w:proofErr w:type="spellEnd"/>
      <w:r>
        <w:t xml:space="preserve"> своими силами и за свой счет </w:t>
      </w:r>
      <w:r>
        <w:lastRenderedPageBreak/>
        <w:t xml:space="preserve">организует вывоз выявленного имущества с Объекта в течение 5 рабочих дней с момента составления Акта. В случае если </w:t>
      </w:r>
      <w:proofErr w:type="spellStart"/>
      <w:r>
        <w:t>Концедент</w:t>
      </w:r>
      <w:proofErr w:type="spellEnd"/>
      <w:r>
        <w:t xml:space="preserve"> не исполнил обязательство по вывозу данного имущество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2C82EB00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7E1EB1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земельных участков</w:t>
      </w:r>
    </w:p>
    <w:p w14:paraId="426C2EE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 </w:t>
      </w:r>
    </w:p>
    <w:p w14:paraId="4B508CD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</w:p>
    <w:p w14:paraId="6C37F90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3A599B7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земельные участки принадлежат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AAD41D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03C40F1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Годовой размер арендной платы за земельные участки определяется в соответствии решением Администрации Забайкальского муниципального округа по следующей формуле:</w:t>
      </w:r>
    </w:p>
    <w:p w14:paraId="138345A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АП=КС х К х К1, где:</w:t>
      </w:r>
    </w:p>
    <w:p w14:paraId="2E14449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5A98AA7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2DD0DEB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расчетный коэффициент, исходя из вида разрешенного использования земельного участка;</w:t>
      </w:r>
    </w:p>
    <w:p w14:paraId="40FBF40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1CCCC40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</w:p>
    <w:p w14:paraId="7689D99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216DA93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. Расходы по государственной регистрации договоров аренды несет Концессионер. Не позднее 5 (пяти) рабочих дней с даты их подписания обеими сторонами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</w:p>
    <w:p w14:paraId="070236F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установленном действующим законодательством порядке. </w:t>
      </w:r>
    </w:p>
    <w:p w14:paraId="7B0294B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Концессионер обязан заблаговременно (не позднее 60 рабочих дней)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 намерении нового строительства с целью обеспечения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формирования и постановки на кадастровый учет соответствующего земельного участка.</w:t>
      </w:r>
    </w:p>
    <w:p w14:paraId="2D10102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собственности Забайкальского муниципального округа (далее – дополнительные участки), то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такие земельные участки Концессионеру в аренду (субаренду)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(обращения) Концессионера. </w:t>
      </w:r>
    </w:p>
    <w:p w14:paraId="5C48F37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</w:t>
      </w:r>
    </w:p>
    <w:p w14:paraId="75B0549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 причинам, не зависящим от Концессионера,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имеет возможности предоставить дополнительные участки Концессионеру в срок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08AA58E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</w:p>
    <w:p w14:paraId="0A21A8B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4851D4D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065FE31A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8147E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1056FA8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Концессионер обязан использовать (эксплуатировать) имущество, входящее в состав Объекта Соглашения в установленном настоящим Соглашением порядке в целях осуществления деятельности, указанной в пункте 1.1. настоящего Соглашения.</w:t>
      </w:r>
    </w:p>
    <w:p w14:paraId="73D5848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Концессионер обязан поддерживать Объект Соглашения в исправном состоянии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</w:p>
    <w:p w14:paraId="6149079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49B493F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</w:p>
    <w:p w14:paraId="2F9CD3A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2E70899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2E5BD44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13EB80E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нарушать иные установленные законодательством запреты.</w:t>
      </w:r>
    </w:p>
    <w:p w14:paraId="4CBC36D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 Продукция и доходы, полученные Концессионером в результате осуществления деятельности с использованием (эксплуатацией) Объекта Соглашения и иного имущества, включая плату за подключение (технологическое присоединение), вносимую Потребителями,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</w:p>
    <w:p w14:paraId="6B8FCC2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Соглашению.</w:t>
      </w:r>
    </w:p>
    <w:p w14:paraId="069831BE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6.6. Недвижимое имущество, которое создано Концессионером без согласия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Стоимость такого имущества не подлежит возмещению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7B8E86B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с согласия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настоящим Соглашением, и не относится к Объекту Соглашения и иному имуществу, является собственностью Концессионера.</w:t>
      </w:r>
    </w:p>
    <w:p w14:paraId="2BB912A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760DA34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осуществляет начисление амортизации по переданному Объекту Соглашения и Иному имуществу в соответствии с информацией по основным средствам, представленной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3EACE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7.2. настоящего Соглашения.</w:t>
      </w:r>
    </w:p>
    <w:p w14:paraId="737AB01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бесхозяйное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концессионного соглашения рыночной стоимости Объекта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эти объекты имущества. </w:t>
      </w:r>
    </w:p>
    <w:p w14:paraId="44C159D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В случае, если в течение срока реализации настоящего Соглашения выявлены технологически связанные с централизованными системами водоснабжения отдельными объектами таких систем бесхозяйные объекты, являющиеся частью относящихся к Объекту соглашения систем водоснабжения, допускается передача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прав владения и (или) пользования такими объектами, приобретаемыми в собственность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порядке, предусмотренном требованиями </w:t>
      </w:r>
      <w:hyperlink r:id="rId8" w:anchor="/document/10164072/entry/1018" w:tooltip="https://internet.garant.ru/#/document/10164072/entry/101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9" w:anchor="/document/12141176/entry/5005" w:tooltip="https://internet.garant.ru/#/document/12141176/entry/500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настоящего пункта.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lastRenderedPageBreak/>
        <w:t xml:space="preserve">соглашении, увеличение объема расходов, финансируемых за счет средств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себя расходов на использование (эксплуатацию) этого объекта, ухудшение плановых значений показателей надежности, качества, энергетической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</w:p>
    <w:p w14:paraId="48A042AE" w14:textId="77777777" w:rsidR="00AF6460" w:rsidRDefault="002E22A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регистрация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недвижимое имущество в составе бесхозяйного имущества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2AE22E" w14:textId="77777777" w:rsidR="00AF6460" w:rsidRDefault="002E22A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осуществления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недвижимости в составе бесхозяйного имущества и (или) оформления в порядке, установленном законодательством РФ,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движимого имущества, бесхозяйное имущество с согласия Концессионера включается в состав Объекта соглашения и передается во владение и пользование Концессионеру не позднее 45 (сорока пяти) календарных дней с даты государственной регистрации и (или) оформления объектов указанного имущества в собственность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333D7CD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AAC31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имущества </w:t>
      </w:r>
    </w:p>
    <w:p w14:paraId="73DC89A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Концессионер обязан передать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принять Объект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быть пригодным для осуществления деятельности, указанной в пункте 1.1 настоящего Соглашения, и не должен быть обременен правами третьих лиц. </w:t>
      </w:r>
    </w:p>
    <w:p w14:paraId="6E9A7C5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Передача Концессионером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даты окончания срока использования имущества, указанной в пункте 10.6 настоящего Соглашения. При отсутствии возражений Акт приёма-передачи подлежит подписанию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возврату Концессионеру в течение 20 (двадцати) рабочих дней с даты получения Акта от Концессионера.</w:t>
      </w:r>
    </w:p>
    <w:p w14:paraId="37A06B4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подписания Акта приёма-передачи при возврате имущества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досрочном расторжении настоящего Соглашения - 20 (двадцать) рабочих дней с даты получения Акта приёма-передачи.</w:t>
      </w:r>
    </w:p>
    <w:p w14:paraId="20401E4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Концессионера по передаче Объекта Соглашения (имущества, входящего в Объект Соглашения) считается исполненной с момента подписания Концессионером 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Акта приёма-передачи. При безосновательном уклонении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подписания Акта приёма-передачи обязанность Концессионера по передаче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Акт приёма-передачи, но в течение 20 (двадцати) рабочих дней не получил от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возражений относительно принимаемого имущества.</w:t>
      </w:r>
    </w:p>
    <w:p w14:paraId="56D6F01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необходимые документы, относящиеся к передаваемому Объекту Соглашения, которые были переданы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ранее, а также документы, которые были разработаны в процессе выполнения Концессионером мероприятий по реконструкции Объекта Соглашения (объектов, входящих в состав Объекта Соглашения).</w:t>
      </w:r>
    </w:p>
    <w:p w14:paraId="0EC6BD0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Прекращение прав Концессионера на владение и пользование объектами недвижимого имущества, входящими в состав Объекта Соглашения, подлежит </w:t>
      </w:r>
      <w:r>
        <w:rPr>
          <w:rFonts w:ascii="Times New Roman" w:hAnsi="Times New Roman"/>
          <w:sz w:val="24"/>
          <w:szCs w:val="24"/>
        </w:rPr>
        <w:lastRenderedPageBreak/>
        <w:t xml:space="preserve">государственной регистрации в установленном законодательством РФ порядке. Государственная регистрация прекращения указанных прав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4EF20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Акта приёма-передачи имущества.</w:t>
      </w:r>
    </w:p>
    <w:p w14:paraId="64A929F3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B3CE6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521C136D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предусмотренной Соглашением, и иной деятельности</w:t>
      </w:r>
    </w:p>
    <w:p w14:paraId="1A222E9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1.1 настоящего Соглашения, и не прекращать (не приостанавливать) эту деятельность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за исключением случаев, установленных законодательством РФ и настоящим Соглашением. </w:t>
      </w:r>
    </w:p>
    <w:p w14:paraId="2C612EB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274A0B9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Концессионер обязан осуществлять деятельность, указанную в пункте 1.1 настоящего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AC0D1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Концессионер обязан при осуществлении деятельности, указанной в пункте 1.1 настоящего Соглашения, осуществлять реализацию производимых товаров по регулируемым ценам (тарифам), а в случаях, предусмотренных законодательством – по нерегулируемым ценам. Концессионер обязан при осуществлении деятельности, указанной в пункте 1.1 настоящего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</w:p>
    <w:p w14:paraId="097E94F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регулирования деятельности Концессионера в сфере водоснабжения, определенные в соответствии с нормативными правовыми актами РФ в сфере водоснабжения 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3 к настоящему Соглашению.</w:t>
      </w:r>
    </w:p>
    <w:p w14:paraId="5825229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Объем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>
        <w:rPr>
          <w:rFonts w:ascii="Times New Roman" w:hAnsi="Times New Roman"/>
          <w:sz w:val="24"/>
          <w:szCs w:val="24"/>
        </w:rPr>
        <w:t>представлен в Приложении №9.</w:t>
      </w:r>
    </w:p>
    <w:p w14:paraId="23ABEAE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водоснабжения.</w:t>
      </w:r>
    </w:p>
    <w:p w14:paraId="156015D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Концессионного соглашения либо осуществить страхование деятельности Концессионера.</w:t>
      </w:r>
    </w:p>
    <w:p w14:paraId="22326BC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Безотзывные Банковские гарантии предоставляются ежегодно в следующем порядке:</w:t>
      </w:r>
    </w:p>
    <w:p w14:paraId="035CFA7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предоставлена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20 декабря года, предшествующего году действия такой банковской гарантии;</w:t>
      </w:r>
    </w:p>
    <w:p w14:paraId="2100C2C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353C29B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выдана на сумму, составляющую 1% от планируемого размера расходов на реконструкцию Объекта Соглашения на соответствующий год, предусмотренного приложением № 4 к настоящему Соглашению. </w:t>
      </w:r>
    </w:p>
    <w:p w14:paraId="60188BB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8.9. Концессионер обязуется осуществлять подключение к системе водоснабжения отдельным объектам такой системы объектов потребителей (в том числе застройщиков), в сроки и порядке, установленных действующим законодательством РФ.</w:t>
      </w:r>
    </w:p>
    <w:p w14:paraId="28B50DE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Концессионер для осуществления деятельности, предусмотренной настоящим Соглашением, обязан иметь соответствующие лицензии в предусмотренных действующим законодательством РФ случаях.</w:t>
      </w:r>
    </w:p>
    <w:p w14:paraId="44E40F25" w14:textId="77777777" w:rsidR="00AF6460" w:rsidRDefault="002E22A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Концессионер уведомляет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структурных подразделениях Концессионера, 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Концессионера о составе уполномоченных органов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осуществляющих права и обязанности, предусмотренные настоящим Соглашением, в течение 1 (одного) месяца с даты вступления настоящего Соглашения в силу.</w:t>
      </w:r>
    </w:p>
    <w:p w14:paraId="7C25D44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Концессионера об исполнении настоящего Соглашения.</w:t>
      </w:r>
    </w:p>
    <w:p w14:paraId="524EBAAE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5C9947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4870FA2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</w:p>
    <w:p w14:paraId="3138ACD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Плата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настоящему Соглашению утверждается Региональной службой по тарифам и ценообразованию Забайкальского края и составляет 124 180 (Сто двадцать четыре тысячи сто восемьдесят) рублей 28 копеек ежегодно с 2025 по 2031 гг. (в полном объеме).</w:t>
      </w:r>
    </w:p>
    <w:p w14:paraId="664A85D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FCB675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 </w:t>
      </w:r>
    </w:p>
    <w:p w14:paraId="20F0994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Настоящее Соглашение вступает в силу со дня его подписания и действует до 31.12.2031 г. </w:t>
      </w:r>
    </w:p>
    <w:p w14:paraId="4935B69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Срок создания и (или) реконструкции Объекта Соглашения определяется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2CAA078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Сроки завершения создания и (или) реконструкции объектов Соглашения определяются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14:paraId="11F0D0D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Срок передачи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 Соглашения и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- в течение 30 дней с даты подписания сторонами настоящего Соглашения.</w:t>
      </w:r>
    </w:p>
    <w:p w14:paraId="5E88A46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Срок использования Концессионером Объекта Соглашения – с даты передачи Концессионеру имущества, входящего с состав Объекта Соглашения, по 31.12.2031 г.</w:t>
      </w:r>
    </w:p>
    <w:p w14:paraId="3B186E5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 Срок осуществления Концессионером деятельности, указанной в пункте 1.1. настоящего Соглашения – с даты передачи Концессионеру имущества, входящего с состав Объекта Соглашения, и до даты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4D0446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9CC05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Порядок осуществления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контроля </w:t>
      </w:r>
    </w:p>
    <w:p w14:paraId="0904A673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соблюдением Концессионером условий настоящего Соглашения </w:t>
      </w:r>
    </w:p>
    <w:p w14:paraId="127239F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Уполномоченные органы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осуществляют контроль за соблюдением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инвестиций в его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14:paraId="43263DF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реже 1 (одного) раза в год проводит проверку соблюдения со стороны Концессионера условий концессионного соглашения. О планируемой проверке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2D246EB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проводить внеплановые мероприятия по контролю в порядке и сроки, предусмотренные действующим законодательством. Внеплановые мероприятия по контролю проводятся в присутствии Концессионера с составлением соответствующего акта. В случае неявки представителя Концессионера для участия в мероприятии по контролю акт составляется в одностороннем порядке, с последующим направлением его в адрес Концессионера. </w:t>
      </w:r>
    </w:p>
    <w:p w14:paraId="69B86CF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контрольные мероприятия могут быть проведены также по инициативе Концессионера с предварительным письменным извещением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менее чем за 5 (пять) рабочих дня до даты проведения и составлением двухстороннего акта. </w:t>
      </w:r>
    </w:p>
    <w:p w14:paraId="6338738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Соглашения.</w:t>
      </w:r>
    </w:p>
    <w:p w14:paraId="07B4E64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 юридического лица,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об этом Концессионера в разумный срок, но не позднее 30 (тридцати) рабочих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41F3CCC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Концессионер обязан обеспечить представителям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41048A1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и информацию, относящиеся к исполнению обязательств по реконструкции Объекта Соглашения, Концессионер обязан предоставить в течение 30 (тридцати) рабочих дней с момента получения письменного запроса.</w:t>
      </w:r>
    </w:p>
    <w:p w14:paraId="6633A33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14:paraId="6608B07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Представители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7667D13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 При обнаружении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сообщить об этом Концессионеру в течение 10 (десяти) рабочих дней со дня обнаружения указанных нарушений.</w:t>
      </w:r>
    </w:p>
    <w:p w14:paraId="07D276C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3023D94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6A528374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89E81B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9A5463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12. Обязанности Субъекта РФ </w:t>
      </w:r>
    </w:p>
    <w:p w14:paraId="16A4281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14:paraId="32A3CBA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Утверждение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Соглашения.</w:t>
      </w:r>
    </w:p>
    <w:p w14:paraId="50C9C8A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Возмещение недополученных доходов, экономически обоснованных расходов Концессионера, подлежащих возмещению за счет средств бюджета субъекта РФ, в том числе в случае принятия органом исполнительной власти Забайкальского края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водоснабжения, и (или) долгосрочных параметров регулирования деятельности Концессионера, установленных органом исполнительной власти Забайкальского края в области государственного регулирования тарифов,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Забайкальского края в области государственного регулирования тарифов, в соответствии с Федеральным законом от 21.07.2005 № 115-ФЗ «О концессионных соглашениях» (далее – ФЗ «О концессионных соглашениях»).</w:t>
      </w:r>
    </w:p>
    <w:p w14:paraId="68244EFD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Иные обязанности, устанавливаемые нормативными правовыми актами Субъекта РФ.</w:t>
      </w:r>
    </w:p>
    <w:p w14:paraId="53F73E50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1E6D4F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Ответственность Сторон </w:t>
      </w:r>
    </w:p>
    <w:p w14:paraId="5D545F4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</w:p>
    <w:p w14:paraId="08D79F4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за допущенное при создании и (или)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14:paraId="5307208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В случае нарушения требований, указанных в пункте 13.2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 течение 10 (десяти)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</w:p>
    <w:p w14:paraId="5377561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Концессионер обязан возместить причиненные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убытки, вызванные нарушением Концессионером требований, указанных в пунктах 4.1, 6.1, 6.2, 6.3, 7.1 настоящего Соглашения, если эти нарушения не были устранены Концессионером в срок, определенный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требовании об устранении нарушений, или являются существенными.</w:t>
      </w:r>
    </w:p>
    <w:p w14:paraId="242ED75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ответственность за качество работ по созданию и (или) реконструкции Объекта Соглашения (объекта, входящего в состав Объекта Соглашения), в предусмотренных действующим законодательством РФ случаях. </w:t>
      </w:r>
    </w:p>
    <w:p w14:paraId="34092CA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13.7. В случае если в результате действий или бездействия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 xml:space="preserve">обязательства. При этом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</w:p>
    <w:p w14:paraId="5F02038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6B4DAF6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13.9.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1E4FC596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5BCF00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5E212617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наступлении обстоятельств непреодолимой силы </w:t>
      </w:r>
    </w:p>
    <w:p w14:paraId="38BF1A3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165CC1D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</w:p>
    <w:p w14:paraId="7F85082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2D95CE9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1.1 настоящего Соглашения.</w:t>
      </w:r>
    </w:p>
    <w:p w14:paraId="6722CF84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7FED4B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6FBF372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</w:p>
    <w:p w14:paraId="15B2C18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Изменение условий настоящего Соглашения осуществляется с согласия антимонопольного органа в случаях, предусмотренных ФЗ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05B66DE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 Изменение значений долгосрочных параметров регулирования деятельности Концессионера, указанных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осуществляется по предварительному согласованию с органом исполнительной власти субъекта РФ или органом местного самоуправления, осуществляющих регулирование цен (тарифов) в </w:t>
      </w:r>
      <w:r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42A1CF1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 Изменение условий настоящего Соглашения в случае,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водоснабжения, являющиеся </w:t>
      </w:r>
      <w:proofErr w:type="gramStart"/>
      <w:r>
        <w:rPr>
          <w:rFonts w:ascii="Times New Roman" w:hAnsi="Times New Roman"/>
          <w:sz w:val="24"/>
          <w:szCs w:val="24"/>
        </w:rPr>
        <w:t>частью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относящейся к Объекту Соглашения системы водоснабжения, возможно при условиях и в порядке, предусмотренных ФЗ «О концессионных соглашениях».</w:t>
      </w:r>
    </w:p>
    <w:p w14:paraId="54927F5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15.5. 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 сроки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водоотведения могут быть изменены (перенесены) путем подписания сторонами соответствующего дополнительного соглашения к заключенному концессионному соглашению.</w:t>
      </w:r>
    </w:p>
    <w:p w14:paraId="132C329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219D28EA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3767FC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599CF34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Настоящее Соглашение прекращается:</w:t>
      </w:r>
    </w:p>
    <w:p w14:paraId="752CF41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589D947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соглашению Сторон;</w:t>
      </w:r>
    </w:p>
    <w:p w14:paraId="3054646E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основании судебного решения о его досрочном расторжении.</w:t>
      </w:r>
    </w:p>
    <w:p w14:paraId="309D9E5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29D022E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К существенным нарушениям Концессионером условий настоящего Соглашения относятся:</w:t>
      </w:r>
    </w:p>
    <w:p w14:paraId="30D8EE9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нарушение сроков реконструкции Объекта Соглашения по вине Концессионера; </w:t>
      </w:r>
    </w:p>
    <w:p w14:paraId="0D44C59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(эксплуатация) Объекта Соглашения в целях, не установленных настоящим Соглашением;</w:t>
      </w:r>
    </w:p>
    <w:p w14:paraId="225CB29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</w:p>
    <w:p w14:paraId="593CB71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неисполнение или ненадлежащее исполнение Концессионером обязательств, по осуществлению деятельности, предусмотренной пунктом 1.1 настоящего Соглашения, приводящее к причинению значительного ущерба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4955A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за исключением предусмотренных законом и настоящим Соглашением случаев, по вине Концессионера.</w:t>
      </w:r>
    </w:p>
    <w:p w14:paraId="5D6704FC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16.4. К существенным нарушениям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настоящего Соглашения относятся:</w:t>
      </w:r>
    </w:p>
    <w:p w14:paraId="54372F4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невыполнение в срок, установленный в пункте 10.4 настоящего Соглашения, обязанности по передаче Концессионеру Объекта Соглашения (объектов, входящих в состав Объекта Соглашения);</w:t>
      </w:r>
    </w:p>
    <w:p w14:paraId="641DC109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передача Концессионеру объекта Соглашения по описанию, в том числе технико-экономическим показателям, не соответствующем условиям настоящего Соглашения в случае, если такое несоответствие выявлено в течение одного года с момента подписания </w:t>
      </w:r>
      <w:r>
        <w:rPr>
          <w:rFonts w:ascii="Times New Roman" w:hAnsi="Times New Roman"/>
          <w:sz w:val="24"/>
          <w:szCs w:val="24"/>
        </w:rPr>
        <w:lastRenderedPageBreak/>
        <w:t xml:space="preserve">сторонами Соглашения Актов приёма-передачи и не могло быть выявлено при передаче объекта Соглашения и возникло по вине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8354F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неисполнение или ненадлежащее исполнение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обязательств, установленных пунктом 5.1 настоящего Соглашения.</w:t>
      </w:r>
    </w:p>
    <w:p w14:paraId="1D5FEB71" w14:textId="77777777" w:rsidR="00AF6460" w:rsidRDefault="00AF64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3D801C1" w14:textId="77777777" w:rsidR="00AF6460" w:rsidRDefault="002E22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 деятельности с использованием (эксплуатацией) Объекта соглашения</w:t>
      </w:r>
    </w:p>
    <w:p w14:paraId="10C8095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17.1. В случае установления 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sz w:val="24"/>
            <w:szCs w:val="24"/>
          </w:rPr>
          <w:t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долгосрочным параметрам регулирования, и </w:t>
      </w:r>
      <w:r>
        <w:rPr>
          <w:rFonts w:ascii="Times New Roman" w:eastAsia="Times New Roman" w:hAnsi="Times New Roman"/>
          <w:color w:val="404040"/>
          <w:sz w:val="24"/>
        </w:rPr>
        <w:t>ухудшают положение Концессионера,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 Концессионного соглашения должны быть изменены по требованию Концессионера при предоставлении последним экономического обоснования и документального подтверждения ухудшения своего положения. Концессионер по согласованию с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приостановить выполнение обязательств по модернизации и/или строительству Объекта концессии на период урегулирования данного вопроса. При этом перенос сроков выполнения приостановленных инвестиционных мероприятий с учетом дополнительной задержки из-за сезонной невозможности их реализации, не считается нарушением обязательств Концессионера.</w:t>
      </w:r>
    </w:p>
    <w:p w14:paraId="651AA88A" w14:textId="77777777" w:rsidR="00AF6460" w:rsidRDefault="002E22A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17.2. Подтвержденные документально экономически обоснованные расходы и недополученные доходы, возникшие у Концессионера в связи с продолжением Концессионной деятельности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4AC0ABD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>, в частности, обязуется:</w:t>
      </w:r>
    </w:p>
    <w:p w14:paraId="5C8D650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осуществлять целевое финансирование подведомственных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 на цели оплаты услуг Концессионера, в том числе погашение задолженности перед Концессионером и осуществлять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37694BB5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своевременно и в полном объеме включать в бюджет расходы на оплату задолженности подведомственных организаций;</w:t>
      </w:r>
    </w:p>
    <w:p w14:paraId="5D8A1EE4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проводить разъяснительную работу с населением о необходимости своевременной оплаты за услуги водоснабжения и административной ответственности за несвоевременную оплату.</w:t>
      </w:r>
    </w:p>
    <w:p w14:paraId="16CFFD41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17.4. В порядке, предусмотренном законодательством РФ, субъект РФ своевременно обеспечивает:</w:t>
      </w:r>
    </w:p>
    <w:p w14:paraId="443353B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возмещение недополученных доходов в порядке, предусмотренным законодательством РФ и условиями Концессионного соглашения;</w:t>
      </w:r>
    </w:p>
    <w:p w14:paraId="001FA106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законодательством РФ и условиями Концессионного соглашения;</w:t>
      </w:r>
    </w:p>
    <w:p w14:paraId="58711B3A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возмещение экономически обоснованных расходов и выпадающих доходов Концессионера в случаях и порядке, предусмотренных законодательством РФ.</w:t>
      </w:r>
    </w:p>
    <w:p w14:paraId="062E54D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 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</w:t>
      </w:r>
      <w:r>
        <w:rPr>
          <w:rFonts w:ascii="Times New Roman" w:hAnsi="Times New Roman"/>
          <w:sz w:val="24"/>
          <w:szCs w:val="24"/>
        </w:rPr>
        <w:lastRenderedPageBreak/>
        <w:t xml:space="preserve">РФ, субъектов РФ,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увеличить срок настоящего Соглашения, в следующем порядке: </w:t>
      </w:r>
    </w:p>
    <w:p w14:paraId="3A78A87F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17.5.1.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41E4F06B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14:paraId="06E82260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17.5.3. Если в процессе проверки документов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увеличивается в случае, если ухудшение положения Концессионера произошло вследствие недостижения Концессионером установленных Соглашением плановых значений показателей надежности, качества объектов водоснабжения, плановых значений показателей надежности и энергетической эффективности объектов водоснабжения.</w:t>
      </w:r>
    </w:p>
    <w:p w14:paraId="127B66C3" w14:textId="77777777" w:rsidR="00AF6460" w:rsidRDefault="00AF6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220EEC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6CA34388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</w:p>
    <w:p w14:paraId="4E62A36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18.2. В случае недостижения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случае, если ответ не представлен в указанный срок, претензия считается принятой. </w:t>
      </w:r>
    </w:p>
    <w:p w14:paraId="39238EF2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18.3. В случае недостижения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</w:p>
    <w:p w14:paraId="242F9C4D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518C0D4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04E5B4A3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Настоящее Соглашение составлено на русском языке в 4 (четырёх) подлинных экземплярах, имеющих равную юридическую силу, из них по одному экземпляру – сторонам Соглашения, один экземпляр - для Росреестра по Забайкальскому краю.</w:t>
      </w:r>
    </w:p>
    <w:p w14:paraId="7B4F76E7" w14:textId="77777777" w:rsidR="00AF6460" w:rsidRDefault="002E2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329163C5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D4D1E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Перечень приложений</w:t>
      </w:r>
    </w:p>
    <w:p w14:paraId="2974357E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>
        <w:rPr>
          <w:rFonts w:ascii="Times New Roman" w:hAnsi="Times New Roman"/>
          <w:sz w:val="24"/>
          <w:szCs w:val="24"/>
        </w:rPr>
        <w:t xml:space="preserve"> – Перечень недвижимого и движимого имущества, передаваемого на условиях Концессионного соглашения, с учетом создаваемых Объектов; </w:t>
      </w:r>
    </w:p>
    <w:p w14:paraId="6A34E216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– Техническое описание и ТЭП объектов водоснабжения; </w:t>
      </w:r>
    </w:p>
    <w:p w14:paraId="09D2527E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– Долгосрочные параметры регулирования и плановые значения показателей деятельности Концессионера;</w:t>
      </w:r>
    </w:p>
    <w:p w14:paraId="64B35FD9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– Задание и основные мероприятия по созданию и (или) реконструкции имущества в составе Объектов Соглашения;</w:t>
      </w:r>
    </w:p>
    <w:p w14:paraId="5070EAE3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 xml:space="preserve"> – Перечень и описание земельных участков;</w:t>
      </w:r>
    </w:p>
    <w:p w14:paraId="16EFE541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– Описание и ТЭП объектов водоснабжения при возврате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по истечении срока действия Концессионного соглашения;</w:t>
      </w:r>
    </w:p>
    <w:p w14:paraId="0C3A997A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– Форма акта приема-передачи имущества по Концессионному соглашению;</w:t>
      </w:r>
    </w:p>
    <w:p w14:paraId="3F1E8CE6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tooltip="#Приложение9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8</w:t>
      </w:r>
      <w:r>
        <w:rPr>
          <w:rFonts w:ascii="Times New Roman" w:hAnsi="Times New Roman"/>
          <w:sz w:val="24"/>
          <w:szCs w:val="24"/>
        </w:rPr>
        <w:t xml:space="preserve"> – Формы отчётов Концессионера;</w:t>
      </w:r>
    </w:p>
    <w:p w14:paraId="12103A82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9 - Объем валовой выручки, получаемой Концессионером в рамках реализации настоящего Соглашения. </w:t>
      </w:r>
    </w:p>
    <w:p w14:paraId="13A156BC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 – Схема расположения сетей водоснабжения.</w:t>
      </w:r>
    </w:p>
    <w:p w14:paraId="2F89250B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EDA0F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40E03ABB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AF6460" w14:paraId="35C9B0FE" w14:textId="77777777">
        <w:tc>
          <w:tcPr>
            <w:tcW w:w="9487" w:type="dxa"/>
          </w:tcPr>
          <w:p w14:paraId="7539E422" w14:textId="77777777" w:rsidR="00AF6460" w:rsidRDefault="002E22A9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Концедент</w:t>
            </w:r>
            <w:proofErr w:type="spellEnd"/>
          </w:p>
          <w:p w14:paraId="48F1E223" w14:textId="77777777" w:rsidR="00AF6460" w:rsidRDefault="002E22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Забайкальского муниципального округа </w:t>
            </w:r>
          </w:p>
          <w:p w14:paraId="027D473D" w14:textId="77777777" w:rsidR="00AF6460" w:rsidRDefault="002E22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1027500546611 ИНН 7505000358 КПП 750501001</w:t>
            </w:r>
          </w:p>
          <w:p w14:paraId="1B229F91" w14:textId="77777777" w:rsidR="00AF6460" w:rsidRDefault="002E22A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674650, Забайкальский край, Забайкальский район,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Забайкальск, ул. Красноармейская, 40А</w:t>
            </w:r>
          </w:p>
          <w:p w14:paraId="1A503E32" w14:textId="77777777" w:rsidR="00AF6460" w:rsidRDefault="00AF646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EB758" w14:textId="77777777" w:rsidR="00AF6460" w:rsidRDefault="002E22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197C60C5" w14:textId="77777777" w:rsidR="00AF6460" w:rsidRDefault="00AF64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92913" w14:textId="77777777" w:rsidR="00AF6460" w:rsidRDefault="002E22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</w:tr>
      <w:tr w:rsidR="00AF6460" w14:paraId="47D8CCFE" w14:textId="77777777">
        <w:tc>
          <w:tcPr>
            <w:tcW w:w="9487" w:type="dxa"/>
          </w:tcPr>
          <w:p w14:paraId="1597DA1E" w14:textId="77777777" w:rsidR="00AF6460" w:rsidRDefault="00AF6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75C34" w14:textId="77777777" w:rsidR="00AF6460" w:rsidRDefault="002E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  <w:p w14:paraId="32B936A5" w14:textId="77777777" w:rsidR="00AF6460" w:rsidRDefault="002E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Читаэнергосбыт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0672263F" w14:textId="77777777" w:rsidR="00AF6460" w:rsidRDefault="002E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1057536132323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6431EB3E" w14:textId="77777777" w:rsidR="00AF6460" w:rsidRDefault="002E22A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672039, Забайкальский край, г. Чита, ул. Бабушкина, д.38</w:t>
            </w:r>
          </w:p>
          <w:p w14:paraId="6A1A97BE" w14:textId="77777777" w:rsidR="00AF6460" w:rsidRDefault="00AF646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C3548" w14:textId="77777777" w:rsidR="00AF6460" w:rsidRDefault="002E22A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5D4DC28" w14:textId="77777777" w:rsidR="00AF6460" w:rsidRDefault="00AF646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EAB92" w14:textId="77777777" w:rsidR="00AF6460" w:rsidRDefault="002E22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</w:tc>
      </w:tr>
      <w:tr w:rsidR="00AF6460" w14:paraId="2BF4514D" w14:textId="77777777">
        <w:tc>
          <w:tcPr>
            <w:tcW w:w="9487" w:type="dxa"/>
          </w:tcPr>
          <w:p w14:paraId="633CF4A7" w14:textId="77777777" w:rsidR="00AF6460" w:rsidRDefault="00AF6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829657" w14:textId="77777777" w:rsidR="00AF6460" w:rsidRDefault="002E22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РФ:</w:t>
            </w:r>
          </w:p>
          <w:p w14:paraId="10CE621F" w14:textId="77777777" w:rsidR="00AF6460" w:rsidRDefault="002E22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589702EC" w14:textId="77777777" w:rsidR="00AF6460" w:rsidRDefault="002E22A9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3457F266" w14:textId="77777777" w:rsidR="00AF6460" w:rsidRDefault="002E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Чайковского, 8</w:t>
            </w:r>
          </w:p>
          <w:p w14:paraId="2CFB04A7" w14:textId="77777777" w:rsidR="00AF6460" w:rsidRDefault="00AF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EE4D17" w14:textId="77777777" w:rsidR="00AF6460" w:rsidRDefault="002E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5103DB4" w14:textId="77777777" w:rsidR="00AF6460" w:rsidRDefault="00AF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1BEDC5" w14:textId="77777777" w:rsidR="00AF6460" w:rsidRDefault="002E22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097D6E12" w14:textId="77777777" w:rsidR="00AF6460" w:rsidRDefault="00AF646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DFC99E" w14:textId="77777777" w:rsidR="00AF6460" w:rsidRDefault="00AF6460">
      <w:pPr>
        <w:spacing w:after="0" w:line="240" w:lineRule="auto"/>
        <w:sectPr w:rsidR="00AF6460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4699A6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Приложение1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49815AAF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инфраструктуры, </w:t>
      </w:r>
    </w:p>
    <w:p w14:paraId="0280BC33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1FC0B517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3EEFEE8D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F74BC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57"/>
        <w:gridCol w:w="3969"/>
        <w:gridCol w:w="4678"/>
        <w:gridCol w:w="2268"/>
      </w:tblGrid>
      <w:tr w:rsidR="00AF6460" w14:paraId="608ADA60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214E1E2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CE7671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6A4AD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C645D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722F3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AF6460" w14:paraId="770E5B94" w14:textId="77777777">
        <w:trPr>
          <w:trHeight w:val="300"/>
        </w:trPr>
        <w:tc>
          <w:tcPr>
            <w:tcW w:w="14312" w:type="dxa"/>
            <w:gridSpan w:val="5"/>
            <w:shd w:val="clear" w:color="auto" w:fill="auto"/>
            <w:vAlign w:val="center"/>
          </w:tcPr>
          <w:p w14:paraId="49E87CF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Водозабор первый и второй подъем</w:t>
            </w:r>
          </w:p>
        </w:tc>
      </w:tr>
      <w:tr w:rsidR="00AF6460" w14:paraId="0E3B3A62" w14:textId="77777777">
        <w:trPr>
          <w:trHeight w:val="493"/>
        </w:trPr>
        <w:tc>
          <w:tcPr>
            <w:tcW w:w="540" w:type="dxa"/>
            <w:shd w:val="clear" w:color="000000" w:fill="FFFFFF"/>
            <w:vAlign w:val="center"/>
          </w:tcPr>
          <w:p w14:paraId="7CDC2CC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E3C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0B2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п.ст.Билитуй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Армейский,12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ЗУ 75:06:070102:10</w:t>
            </w:r>
          </w:p>
        </w:tc>
        <w:tc>
          <w:tcPr>
            <w:tcW w:w="4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CA6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Шлако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-заливная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DF8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№ 75:06:070102:631-75/116/2025-3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от 27.05.2025</w:t>
            </w:r>
          </w:p>
        </w:tc>
      </w:tr>
      <w:tr w:rsidR="00AF6460" w14:paraId="44931425" w14:textId="77777777">
        <w:trPr>
          <w:trHeight w:val="786"/>
        </w:trPr>
        <w:tc>
          <w:tcPr>
            <w:tcW w:w="540" w:type="dxa"/>
            <w:shd w:val="clear" w:color="auto" w:fill="auto"/>
            <w:vAlign w:val="center"/>
          </w:tcPr>
          <w:p w14:paraId="113B756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D16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 (верхняя)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52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п.ст.Билитуй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Армейский,13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75:06:070102:9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5C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Ввод в эксплуатацию – 1966 г.,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Производительность 180 м3/час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4D8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75:06:070102:630-75/116/2025-3 от 27.05.2025</w:t>
            </w:r>
          </w:p>
        </w:tc>
      </w:tr>
    </w:tbl>
    <w:p w14:paraId="5978B7D1" w14:textId="77777777" w:rsidR="00AF6460" w:rsidRDefault="00AF6460">
      <w:pPr>
        <w:tabs>
          <w:tab w:val="left" w:pos="8505"/>
          <w:tab w:val="left" w:pos="864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0A7BE" w14:textId="77777777" w:rsidR="00AF6460" w:rsidRDefault="002E22A9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Иного Имущества Концессионного Соглашения</w:t>
      </w: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57"/>
        <w:gridCol w:w="3969"/>
        <w:gridCol w:w="4678"/>
        <w:gridCol w:w="2268"/>
      </w:tblGrid>
      <w:tr w:rsidR="00AF6460" w14:paraId="018CF3CE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709FDD3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FF5915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D5B03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D6004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D4820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AF6460" w14:paraId="0773AF2D" w14:textId="77777777">
        <w:trPr>
          <w:trHeight w:val="300"/>
        </w:trPr>
        <w:tc>
          <w:tcPr>
            <w:tcW w:w="14312" w:type="dxa"/>
            <w:gridSpan w:val="5"/>
            <w:shd w:val="clear" w:color="auto" w:fill="auto"/>
            <w:vAlign w:val="center"/>
          </w:tcPr>
          <w:p w14:paraId="1771E53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Водозабор первый и второй подъем</w:t>
            </w:r>
          </w:p>
        </w:tc>
      </w:tr>
      <w:tr w:rsidR="00AF6460" w14:paraId="2D56AE30" w14:textId="77777777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14:paraId="7C140CC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C068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(нижняя)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2B0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здании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2D91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 бурения – 1970, глубина скважины – 200м., фактический водозабор 22,9 м3/час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D05B9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6F206596" w14:textId="77777777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7165245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0846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8ED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B0BB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D6E6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56EA2C5C" w14:textId="77777777">
        <w:trPr>
          <w:trHeight w:val="1079"/>
        </w:trPr>
        <w:tc>
          <w:tcPr>
            <w:tcW w:w="540" w:type="dxa"/>
            <w:shd w:val="clear" w:color="auto" w:fill="auto"/>
            <w:vAlign w:val="center"/>
          </w:tcPr>
          <w:p w14:paraId="48E6305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9556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Подпиточный насос 1К 20/30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CAB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 (верхняя)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6FC8A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 двигатель: АИР100S2У2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Производительность: 20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Напор: 30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4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2900 об/мин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53121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3134D4B3" w14:textId="77777777">
        <w:trPr>
          <w:trHeight w:val="330"/>
        </w:trPr>
        <w:tc>
          <w:tcPr>
            <w:tcW w:w="540" w:type="dxa"/>
            <w:shd w:val="clear" w:color="auto" w:fill="auto"/>
            <w:vAlign w:val="center"/>
          </w:tcPr>
          <w:p w14:paraId="70B4B91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E526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(верхняя)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3D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 (верхняя)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4A5B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плит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6F1B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034FCBDB" w14:textId="77777777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52D0B49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DBFD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FFB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 (верхняя)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FCA1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8166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6FDD8D8C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274C35A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2F7C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8 м3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48F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 (верхняя)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2E92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6EEA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50F7FCB0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218C25C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1143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8 м3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C5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ВНС (верхняя)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ЗУ 75:06:070102:9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6E92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C904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472B1E11" w14:textId="77777777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54A5C04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F5E6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Емкость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8F1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Территория ВНС 3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B1A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50 м3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C06D3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460" w14:paraId="7FF42DD2" w14:textId="77777777">
        <w:trPr>
          <w:trHeight w:val="489"/>
        </w:trPr>
        <w:tc>
          <w:tcPr>
            <w:tcW w:w="540" w:type="dxa"/>
            <w:shd w:val="clear" w:color="auto" w:fill="auto"/>
            <w:vAlign w:val="center"/>
          </w:tcPr>
          <w:p w14:paraId="5C2D3D6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9805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875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ВНС 3 Степная 50а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DC02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 бурения – 1991, глубина скважины – 150 м,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фактический водозабор 22 м3/час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E0ED1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61A08F39" w14:textId="77777777">
        <w:trPr>
          <w:trHeight w:val="553"/>
        </w:trPr>
        <w:tc>
          <w:tcPr>
            <w:tcW w:w="540" w:type="dxa"/>
            <w:shd w:val="clear" w:color="auto" w:fill="auto"/>
            <w:vAlign w:val="center"/>
          </w:tcPr>
          <w:p w14:paraId="558EC06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83E0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150QJ12-37/5-3SPA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9F9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ВНС 3 Степная 50а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ABEB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 бурения – 1986, глубина скважины – 200 м,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фактический водозабор 12 м3/час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0388B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02B84CA3" w14:textId="77777777">
        <w:trPr>
          <w:trHeight w:val="300"/>
        </w:trPr>
        <w:tc>
          <w:tcPr>
            <w:tcW w:w="14312" w:type="dxa"/>
            <w:gridSpan w:val="5"/>
            <w:shd w:val="clear" w:color="auto" w:fill="auto"/>
            <w:vAlign w:val="center"/>
          </w:tcPr>
          <w:p w14:paraId="67A3672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Сети водоснабжения</w:t>
            </w:r>
          </w:p>
        </w:tc>
      </w:tr>
      <w:tr w:rsidR="00AF6460" w14:paraId="68E78E58" w14:textId="77777777">
        <w:trPr>
          <w:trHeight w:val="678"/>
        </w:trPr>
        <w:tc>
          <w:tcPr>
            <w:tcW w:w="540" w:type="dxa"/>
            <w:shd w:val="clear" w:color="auto" w:fill="auto"/>
            <w:vAlign w:val="center"/>
          </w:tcPr>
          <w:p w14:paraId="7360AF0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F287B8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водоснабжения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172FD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Билитуй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92865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эксплуатацию – 1966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Протяженность: 1663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Надзхемные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98 м,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Подземные: 1565 м.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37DB5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64CC713" w14:textId="77777777" w:rsidR="00AF6460" w:rsidRDefault="00AF6460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7DD61B" w14:textId="77777777" w:rsidR="00AF6460" w:rsidRDefault="002E22A9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создаваемых Объектов Концессионного Соглашения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158"/>
        <w:gridCol w:w="4111"/>
        <w:gridCol w:w="4110"/>
        <w:gridCol w:w="2410"/>
      </w:tblGrid>
      <w:tr w:rsidR="00AF6460" w14:paraId="06201E19" w14:textId="77777777">
        <w:trPr>
          <w:trHeight w:val="20"/>
          <w:tblHeader/>
        </w:trPr>
        <w:tc>
          <w:tcPr>
            <w:tcW w:w="528" w:type="dxa"/>
            <w:shd w:val="clear" w:color="000000" w:fill="FFFFFF"/>
            <w:vAlign w:val="center"/>
          </w:tcPr>
          <w:p w14:paraId="688B981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4E573CE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3C7E50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26AADE9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42B246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AF6460" w14:paraId="4EB7017C" w14:textId="77777777">
        <w:trPr>
          <w:trHeight w:val="20"/>
        </w:trPr>
        <w:tc>
          <w:tcPr>
            <w:tcW w:w="528" w:type="dxa"/>
            <w:shd w:val="clear" w:color="000000" w:fill="FFFFFF"/>
            <w:vAlign w:val="center"/>
          </w:tcPr>
          <w:p w14:paraId="192F4BA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4676CDD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подъема воды ВНС Нижняя с устройством диспетчеризации данных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6C482F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здании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ЗУ 75:06:070102:10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4BE0CB8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учета подъема воды с устройством диспетчеризации данных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EC70F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460" w14:paraId="59F26A30" w14:textId="77777777">
        <w:trPr>
          <w:trHeight w:val="20"/>
        </w:trPr>
        <w:tc>
          <w:tcPr>
            <w:tcW w:w="528" w:type="dxa"/>
            <w:shd w:val="clear" w:color="000000" w:fill="FFFFFF"/>
            <w:vAlign w:val="center"/>
          </w:tcPr>
          <w:p w14:paraId="5DC0C3A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471E635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подъема воды ВНС Верхняя с устройством диспетчеризации данных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3D6B92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здании ВНС (верхняя)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ЗУ 75:06:070102:9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0F8918B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учета подъема воды с устройством диспетчеризации данных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868D9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3E0A434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12176CFE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C0846E5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494772B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AC5408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4420A593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CDD1B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B3371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72315FB2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B313436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ACE1E5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862E5C8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61075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23A70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89DAD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1295B82A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4C6CD38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9BBAC65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FD16A5F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A8385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46A52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F9FEF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27BD0598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Start w:id="3" w:name="Приложение4"/>
      <w:bookmarkEnd w:id="1"/>
      <w:bookmarkEnd w:id="2"/>
      <w:bookmarkEnd w:id="3"/>
    </w:p>
    <w:p w14:paraId="198C7056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BE5E19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2CAA2B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88F93A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16CE1C76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7C268E0A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6E241828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79BFA08D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F425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2042CA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ЖКХ</w:t>
      </w:r>
    </w:p>
    <w:p w14:paraId="08AF3B05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7D734" w14:textId="77777777" w:rsidR="00AF6460" w:rsidRDefault="002E22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1 - Техническое описание и технико-экономические показатели Объектов Концессионного соглашения</w:t>
      </w: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6"/>
        <w:gridCol w:w="3402"/>
        <w:gridCol w:w="3402"/>
        <w:gridCol w:w="4252"/>
      </w:tblGrid>
      <w:tr w:rsidR="00AF6460" w14:paraId="095FDA96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2187BC0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F4660F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01E10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3B85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(до реконструкции)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62DA5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AF6460" w14:paraId="7409D3B7" w14:textId="77777777">
        <w:trPr>
          <w:trHeight w:val="300"/>
        </w:trPr>
        <w:tc>
          <w:tcPr>
            <w:tcW w:w="14312" w:type="dxa"/>
            <w:gridSpan w:val="5"/>
            <w:shd w:val="clear" w:color="auto" w:fill="auto"/>
            <w:vAlign w:val="center"/>
          </w:tcPr>
          <w:p w14:paraId="3D5153D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Водозабор первый и второй подъем</w:t>
            </w:r>
          </w:p>
        </w:tc>
      </w:tr>
      <w:tr w:rsidR="00AF6460" w14:paraId="584CA0F1" w14:textId="77777777">
        <w:trPr>
          <w:trHeight w:val="1275"/>
        </w:trPr>
        <w:tc>
          <w:tcPr>
            <w:tcW w:w="540" w:type="dxa"/>
            <w:shd w:val="clear" w:color="000000" w:fill="FFFFFF"/>
            <w:vAlign w:val="center"/>
          </w:tcPr>
          <w:p w14:paraId="380BFC4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 w14:paraId="3EDB1AA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69B064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п.ст.Билитуй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Армейский,12</w:t>
            </w:r>
          </w:p>
          <w:p w14:paraId="344C00A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 75:06:070102:10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2C19EB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12 420 кВт*ч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38F2DE7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12 038,18 кВт*ч</w:t>
            </w:r>
          </w:p>
        </w:tc>
      </w:tr>
      <w:tr w:rsidR="00AF6460" w14:paraId="6F9E2493" w14:textId="77777777">
        <w:trPr>
          <w:trHeight w:val="1275"/>
        </w:trPr>
        <w:tc>
          <w:tcPr>
            <w:tcW w:w="540" w:type="dxa"/>
            <w:shd w:val="clear" w:color="000000" w:fill="FFFFFF"/>
            <w:vAlign w:val="center"/>
          </w:tcPr>
          <w:p w14:paraId="0EC71C1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 w14:paraId="078E40D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(верхняя)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75ACD8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п.ст.Билитуй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Армейский,13</w:t>
            </w:r>
          </w:p>
          <w:p w14:paraId="718A8D5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 75:06:070102:9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B5CA3A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19 574 кВт*ч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14:paraId="5BFF63A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18 892,18 кВт*ч</w:t>
            </w:r>
          </w:p>
        </w:tc>
      </w:tr>
    </w:tbl>
    <w:p w14:paraId="20EE1CBB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0F930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683165AE" w14:textId="77777777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10F49CAD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32B6474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2B9742F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1FAAF1D6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C0C7283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491FF48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B3203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12BA9A86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BC6BCDB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247DD8C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B2259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4A16AAA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9D14AA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2EBBB6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E41BEA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0FE84E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4FBB65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D50157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34A10C72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216740D7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112F4044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5CC1211B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1FEFAF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Долгосрочные параметры регулирования и плановые показатели надёжности </w:t>
      </w:r>
    </w:p>
    <w:p w14:paraId="7C3AF578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эффективности деятельности Концессионера в сфере холодного водоснабжения </w:t>
      </w:r>
    </w:p>
    <w:p w14:paraId="7CE8082F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14:paraId="6C8EDC32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2645F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«Водоснабжение»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3038"/>
        <w:gridCol w:w="3594"/>
        <w:gridCol w:w="3593"/>
        <w:gridCol w:w="3593"/>
      </w:tblGrid>
      <w:tr w:rsidR="00AF6460" w14:paraId="65D75984" w14:textId="77777777">
        <w:trPr>
          <w:trHeight w:val="464"/>
        </w:trPr>
        <w:tc>
          <w:tcPr>
            <w:tcW w:w="327" w:type="pct"/>
            <w:vMerge w:val="restart"/>
            <w:vAlign w:val="center"/>
          </w:tcPr>
          <w:p w14:paraId="53F1743E" w14:textId="77777777" w:rsidR="00AF6460" w:rsidRDefault="002E22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71053F4B" w14:textId="77777777" w:rsidR="00AF6460" w:rsidRDefault="002E22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715A191A" w14:textId="77777777" w:rsidR="00AF6460" w:rsidRDefault="002E22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2881FA33" w14:textId="77777777" w:rsidR="00AF6460" w:rsidRDefault="002E22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2025 года,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без НДС) </w:t>
            </w:r>
          </w:p>
        </w:tc>
        <w:tc>
          <w:tcPr>
            <w:tcW w:w="1215" w:type="pct"/>
            <w:vMerge w:val="restart"/>
            <w:vAlign w:val="center"/>
          </w:tcPr>
          <w:p w14:paraId="1D6844D4" w14:textId="77777777" w:rsidR="00AF6460" w:rsidRDefault="002E22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44254BBD" w14:textId="77777777" w:rsidR="00AF6460" w:rsidRDefault="002E22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AF6460" w14:paraId="1B4062AE" w14:textId="77777777">
        <w:trPr>
          <w:trHeight w:val="194"/>
        </w:trPr>
        <w:tc>
          <w:tcPr>
            <w:tcW w:w="327" w:type="pct"/>
            <w:vAlign w:val="center"/>
          </w:tcPr>
          <w:p w14:paraId="1191FE37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28D22E9E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22532470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3 494,16</w:t>
            </w:r>
          </w:p>
        </w:tc>
        <w:tc>
          <w:tcPr>
            <w:tcW w:w="1215" w:type="pct"/>
            <w:vAlign w:val="center"/>
          </w:tcPr>
          <w:p w14:paraId="6AA9A9A3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bottom"/>
          </w:tcPr>
          <w:p w14:paraId="09DDC0F6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6460" w14:paraId="244FF1F9" w14:textId="77777777">
        <w:trPr>
          <w:trHeight w:val="299"/>
        </w:trPr>
        <w:tc>
          <w:tcPr>
            <w:tcW w:w="327" w:type="pct"/>
            <w:vAlign w:val="center"/>
          </w:tcPr>
          <w:p w14:paraId="1016615D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45A1F072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70922013" w14:textId="77777777" w:rsidR="00AF6460" w:rsidRDefault="002E22A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0E570DD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6D27A0C7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6460" w14:paraId="7F12A590" w14:textId="77777777">
        <w:trPr>
          <w:trHeight w:val="20"/>
        </w:trPr>
        <w:tc>
          <w:tcPr>
            <w:tcW w:w="327" w:type="pct"/>
            <w:vAlign w:val="center"/>
          </w:tcPr>
          <w:p w14:paraId="2A02A4B7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4275D05B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3CC6FEA9" w14:textId="77777777" w:rsidR="00AF6460" w:rsidRDefault="002E22A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9247DCD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47FAE43C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</w:tr>
      <w:tr w:rsidR="00AF6460" w14:paraId="64DC25E4" w14:textId="77777777">
        <w:trPr>
          <w:trHeight w:val="20"/>
        </w:trPr>
        <w:tc>
          <w:tcPr>
            <w:tcW w:w="327" w:type="pct"/>
            <w:vAlign w:val="center"/>
          </w:tcPr>
          <w:p w14:paraId="0966885E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3D8A25C9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77D86D3A" w14:textId="77777777" w:rsidR="00AF6460" w:rsidRDefault="002E22A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44E348C6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E6BB3C3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</w:tr>
      <w:tr w:rsidR="00AF6460" w14:paraId="37CB436A" w14:textId="77777777">
        <w:trPr>
          <w:trHeight w:val="20"/>
        </w:trPr>
        <w:tc>
          <w:tcPr>
            <w:tcW w:w="327" w:type="pct"/>
            <w:vAlign w:val="center"/>
          </w:tcPr>
          <w:p w14:paraId="6CA684CD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4B4198AB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2E8ABD0D" w14:textId="77777777" w:rsidR="00AF6460" w:rsidRDefault="002E22A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B8368E7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1B5C1CD8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2,96</w:t>
            </w:r>
          </w:p>
        </w:tc>
      </w:tr>
      <w:tr w:rsidR="00AF6460" w14:paraId="60A58027" w14:textId="77777777">
        <w:trPr>
          <w:trHeight w:val="20"/>
        </w:trPr>
        <w:tc>
          <w:tcPr>
            <w:tcW w:w="327" w:type="pct"/>
            <w:vAlign w:val="center"/>
          </w:tcPr>
          <w:p w14:paraId="0BE61526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14C60BE7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0CC36022" w14:textId="77777777" w:rsidR="00AF6460" w:rsidRDefault="002E22A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E4BA935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77A71A36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</w:tr>
      <w:tr w:rsidR="00AF6460" w14:paraId="1969CFA5" w14:textId="77777777">
        <w:trPr>
          <w:trHeight w:val="20"/>
        </w:trPr>
        <w:tc>
          <w:tcPr>
            <w:tcW w:w="327" w:type="pct"/>
            <w:vAlign w:val="center"/>
          </w:tcPr>
          <w:p w14:paraId="48323FCB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4AC6309A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30436654" w14:textId="77777777" w:rsidR="00AF6460" w:rsidRDefault="002E22A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24B96AF3" w14:textId="77777777" w:rsidR="00AF6460" w:rsidRDefault="002E22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7848BC39" w14:textId="77777777" w:rsidR="00AF6460" w:rsidRDefault="002E2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</w:tr>
    </w:tbl>
    <w:p w14:paraId="0B4FA704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6EF2A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1E644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B8789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0B5B86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30BD4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A9B06F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28C27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Показатели надежности, качества и энергетической эффективности объектов горячего водоснабжения, холодного водоснабжения (в соответствии с Приказом Министерства строительства и жилищно-коммунального хозяйства Российской Федерации (Минстрой России) от 4 апреля 2014 года № 162/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19"/>
        <w:gridCol w:w="1017"/>
        <w:gridCol w:w="1276"/>
        <w:gridCol w:w="992"/>
        <w:gridCol w:w="993"/>
        <w:gridCol w:w="992"/>
        <w:gridCol w:w="992"/>
        <w:gridCol w:w="992"/>
        <w:gridCol w:w="993"/>
        <w:gridCol w:w="967"/>
      </w:tblGrid>
      <w:tr w:rsidR="00AF6460" w14:paraId="1CE111AC" w14:textId="77777777" w:rsidTr="002E22A9">
        <w:trPr>
          <w:trHeight w:val="76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127C1B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14:paraId="5D3F1B3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5904CED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1277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</w:p>
        </w:tc>
        <w:tc>
          <w:tcPr>
            <w:tcW w:w="6921" w:type="dxa"/>
            <w:gridSpan w:val="7"/>
            <w:shd w:val="clear" w:color="auto" w:fill="auto"/>
            <w:vAlign w:val="center"/>
          </w:tcPr>
          <w:p w14:paraId="7DD2D92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AF6460" w14:paraId="03F18E8F" w14:textId="77777777" w:rsidTr="002E22A9">
        <w:trPr>
          <w:trHeight w:val="840"/>
        </w:trPr>
        <w:tc>
          <w:tcPr>
            <w:tcW w:w="1696" w:type="dxa"/>
            <w:vMerge/>
            <w:vAlign w:val="center"/>
          </w:tcPr>
          <w:p w14:paraId="016FB400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vAlign w:val="center"/>
          </w:tcPr>
          <w:p w14:paraId="3559268A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vAlign w:val="center"/>
          </w:tcPr>
          <w:p w14:paraId="38283B00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6C3D2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57435D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42B6B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69B35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114D6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D2F83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89AF6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91BA0B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AF6460" w14:paraId="6B941D8E" w14:textId="77777777" w:rsidTr="002E22A9">
        <w:trPr>
          <w:trHeight w:val="255"/>
        </w:trPr>
        <w:tc>
          <w:tcPr>
            <w:tcW w:w="1696" w:type="dxa"/>
            <w:shd w:val="clear" w:color="auto" w:fill="auto"/>
            <w:vAlign w:val="center"/>
          </w:tcPr>
          <w:p w14:paraId="64F6C40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69CA8C8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A7E881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79AC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3A3FA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9B93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2B2D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0373B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B014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C094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42CF3D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F6460" w14:paraId="38954672" w14:textId="77777777" w:rsidTr="002E22A9">
        <w:trPr>
          <w:trHeight w:val="1830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2C3EBA3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3519" w:type="dxa"/>
            <w:shd w:val="clear" w:color="000000" w:fill="FFFFFF"/>
            <w:vAlign w:val="center"/>
          </w:tcPr>
          <w:p w14:paraId="7D7B6E21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в результате производственного контроля качества питьевой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033CDC2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D5A67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5F2FB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1B586B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FD3BF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F37DA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29401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D8CC84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1CEC841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AF6460" w14:paraId="55684348" w14:textId="77777777" w:rsidTr="002E22A9">
        <w:trPr>
          <w:trHeight w:val="1140"/>
        </w:trPr>
        <w:tc>
          <w:tcPr>
            <w:tcW w:w="1696" w:type="dxa"/>
            <w:vMerge/>
            <w:vAlign w:val="center"/>
          </w:tcPr>
          <w:p w14:paraId="51BC4B32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3F9D9774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проб питьевой воды, подаваемой с источников водоснабжения в распределительную водопроводную сеть, не соответствующих установленным требованиям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1BC8124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71550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D6D7D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82309B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390E5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E9184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54ED0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815F6D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1DAB730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F6460" w14:paraId="5C53DF74" w14:textId="77777777" w:rsidTr="002E22A9">
        <w:trPr>
          <w:trHeight w:val="900"/>
        </w:trPr>
        <w:tc>
          <w:tcPr>
            <w:tcW w:w="1696" w:type="dxa"/>
            <w:vMerge/>
            <w:vAlign w:val="center"/>
          </w:tcPr>
          <w:p w14:paraId="1BEA1167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7DAA53A3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питьевой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0A578F6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25073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925D3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10EBC1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53295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656D5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202C5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D521D5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023C3F4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F6460" w14:paraId="02B180B2" w14:textId="77777777" w:rsidTr="002E22A9">
        <w:trPr>
          <w:trHeight w:val="1560"/>
        </w:trPr>
        <w:tc>
          <w:tcPr>
            <w:tcW w:w="1696" w:type="dxa"/>
            <w:vMerge/>
            <w:vAlign w:val="center"/>
          </w:tcPr>
          <w:p w14:paraId="18B0577C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40190192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1A5E097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9EFD3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65FE8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E2541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BFCD8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3D354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3187D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935DD0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226E75F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6460" w14:paraId="294559EA" w14:textId="77777777" w:rsidTr="002E22A9">
        <w:trPr>
          <w:trHeight w:val="975"/>
        </w:trPr>
        <w:tc>
          <w:tcPr>
            <w:tcW w:w="1696" w:type="dxa"/>
            <w:vMerge/>
            <w:vAlign w:val="center"/>
          </w:tcPr>
          <w:p w14:paraId="6EA2E3F5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7A103027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питьевой воды в распределительной водопроводной сети, не соответствующих установленным требованиям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5A144C9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CA2F0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7A8C3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261D2B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DD0A1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DA4A1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590D8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B68BE3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4C5663F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6460" w14:paraId="7108E074" w14:textId="77777777" w:rsidTr="002E22A9">
        <w:trPr>
          <w:trHeight w:val="885"/>
        </w:trPr>
        <w:tc>
          <w:tcPr>
            <w:tcW w:w="1696" w:type="dxa"/>
            <w:vMerge/>
            <w:vAlign w:val="center"/>
          </w:tcPr>
          <w:p w14:paraId="64972A6A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16431E7E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питьевой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27F5968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9C68D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6F225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C84ADA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06E84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09313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B149D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C6BA96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494ED9D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AF6460" w14:paraId="11FDDC4B" w14:textId="77777777" w:rsidTr="002E22A9">
        <w:trPr>
          <w:trHeight w:val="1590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7C97B4E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горячей воды</w:t>
            </w:r>
          </w:p>
        </w:tc>
        <w:tc>
          <w:tcPr>
            <w:tcW w:w="3519" w:type="dxa"/>
            <w:shd w:val="clear" w:color="000000" w:fill="FFFFFF"/>
            <w:vAlign w:val="center"/>
          </w:tcPr>
          <w:p w14:paraId="6304F2CA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по температуре,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4FE3119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792E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3B336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C2F086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62FE9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CCA05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312FF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A0A978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0363429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6460" w14:paraId="64EFD3B5" w14:textId="77777777" w:rsidTr="002E22A9">
        <w:trPr>
          <w:trHeight w:val="1590"/>
        </w:trPr>
        <w:tc>
          <w:tcPr>
            <w:tcW w:w="1696" w:type="dxa"/>
            <w:vMerge/>
            <w:vAlign w:val="center"/>
          </w:tcPr>
          <w:p w14:paraId="52F8E962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321E4106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(за исключением температуры),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4DB156A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56057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1D1E1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A18537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46C06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50879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6E609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87CEF5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4BF72FC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6460" w14:paraId="4349B201" w14:textId="77777777" w:rsidTr="002E22A9">
        <w:trPr>
          <w:trHeight w:val="945"/>
        </w:trPr>
        <w:tc>
          <w:tcPr>
            <w:tcW w:w="1696" w:type="dxa"/>
            <w:vMerge/>
            <w:vAlign w:val="center"/>
          </w:tcPr>
          <w:p w14:paraId="5F99A35D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241D141C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горячей воды в тепловой сети или сети горячего водоснабжения, не соответствующих установленным требованиям по температуре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0A992A2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F3B61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9CB37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69CED4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46FCC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5D400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6E3A8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2C88C7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12C24E7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6460" w14:paraId="24675461" w14:textId="77777777" w:rsidTr="002E22A9">
        <w:trPr>
          <w:trHeight w:val="885"/>
        </w:trPr>
        <w:tc>
          <w:tcPr>
            <w:tcW w:w="1696" w:type="dxa"/>
            <w:vMerge/>
            <w:vAlign w:val="center"/>
          </w:tcPr>
          <w:p w14:paraId="7D3EAAB9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68287DA8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горячей питьевой воды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7469790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543FE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247C9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6CDDBB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71FFE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73ECC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4F8BA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2AD34B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29CC79B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6460" w14:paraId="0DEB5E52" w14:textId="77777777" w:rsidTr="002E22A9">
        <w:trPr>
          <w:trHeight w:val="1155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2B1CC55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3519" w:type="dxa"/>
            <w:shd w:val="clear" w:color="000000" w:fill="FFFFFF"/>
            <w:vAlign w:val="center"/>
          </w:tcPr>
          <w:p w14:paraId="09CC3623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горячей воды, возникших в результате аварий, повреждений и иных технологических нарушений, в расчете на протяженность водопроводной сети в год (ед./ км);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7A459CC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9C63B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AB6E2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0ACB65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DCE77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A8F70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1AB5B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BA215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089D199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F6460" w14:paraId="523944DC" w14:textId="77777777" w:rsidTr="002E22A9">
        <w:trPr>
          <w:trHeight w:val="1305"/>
        </w:trPr>
        <w:tc>
          <w:tcPr>
            <w:tcW w:w="1696" w:type="dxa"/>
            <w:vMerge/>
            <w:vAlign w:val="center"/>
          </w:tcPr>
          <w:p w14:paraId="198E2690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7D6A33AE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6E4DA47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AAD4E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B7596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3ED549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D37AC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619EE2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D2EB9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5A414D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52C1071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F6460" w14:paraId="7BC55867" w14:textId="77777777" w:rsidTr="002E22A9">
        <w:trPr>
          <w:trHeight w:val="495"/>
        </w:trPr>
        <w:tc>
          <w:tcPr>
            <w:tcW w:w="1696" w:type="dxa"/>
            <w:vMerge/>
            <w:vAlign w:val="center"/>
          </w:tcPr>
          <w:p w14:paraId="7A138768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5A3E98AA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суммарная протяженность водопроводной сети 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2E73A39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5714D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C87A0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DFDBE7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810BA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AA2FB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F52B9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296FF6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25D1C6D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1,663</w:t>
            </w:r>
          </w:p>
        </w:tc>
      </w:tr>
      <w:tr w:rsidR="00AF6460" w14:paraId="31B3E001" w14:textId="77777777" w:rsidTr="002E22A9">
        <w:trPr>
          <w:trHeight w:val="1215"/>
        </w:trPr>
        <w:tc>
          <w:tcPr>
            <w:tcW w:w="1696" w:type="dxa"/>
            <w:vMerge/>
            <w:vAlign w:val="center"/>
          </w:tcPr>
          <w:p w14:paraId="5CDD59C2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32C94883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перерывов в подаче холодной воды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возникших в результате аварий, повреждений и иных технологических нарушений, в расчете на протяженность водопроводной сети в год (ед./ км);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6EEF85A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E857F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83DDB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6DDDC3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5549D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FEE20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31D20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552315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0D3B298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F6460" w14:paraId="3A33D738" w14:textId="77777777" w:rsidTr="002E22A9">
        <w:trPr>
          <w:trHeight w:val="1410"/>
        </w:trPr>
        <w:tc>
          <w:tcPr>
            <w:tcW w:w="1696" w:type="dxa"/>
            <w:vMerge/>
            <w:vAlign w:val="center"/>
          </w:tcPr>
          <w:p w14:paraId="5CA54B4C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4C4680A5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47C2123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41540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420D3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5014A4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8A423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1BA82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0DB38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4AD556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68B31B8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F6460" w14:paraId="75124688" w14:textId="77777777" w:rsidTr="002E22A9">
        <w:trPr>
          <w:trHeight w:val="1050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 w14:paraId="71D45CA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519" w:type="dxa"/>
            <w:shd w:val="clear" w:color="000000" w:fill="FFFFFF"/>
            <w:vAlign w:val="center"/>
          </w:tcPr>
          <w:p w14:paraId="7AF26BCB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411E4CB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731AE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DC99E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E09791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77C52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D2E91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45109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39A46A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0095275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AF6460" w14:paraId="4BDDD95A" w14:textId="77777777" w:rsidTr="002E22A9">
        <w:trPr>
          <w:trHeight w:val="825"/>
        </w:trPr>
        <w:tc>
          <w:tcPr>
            <w:tcW w:w="1696" w:type="dxa"/>
            <w:vMerge/>
            <w:vAlign w:val="center"/>
          </w:tcPr>
          <w:p w14:paraId="5928D621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0EAB85A2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Удельное количество тепловой энергии, расходуемое на подогрев горячей воды 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653262E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0A1E7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3F016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025041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1B9B9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2C952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637DF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9E55E4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5F5E9DF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2E22A9" w14:paraId="784FFFE5" w14:textId="77777777" w:rsidTr="002E22A9">
        <w:trPr>
          <w:trHeight w:val="540"/>
        </w:trPr>
        <w:tc>
          <w:tcPr>
            <w:tcW w:w="1696" w:type="dxa"/>
            <w:vMerge/>
            <w:vAlign w:val="center"/>
          </w:tcPr>
          <w:p w14:paraId="18E83162" w14:textId="77777777" w:rsidR="002E22A9" w:rsidRDefault="002E22A9" w:rsidP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1EBB2E5B" w14:textId="77777777" w:rsidR="002E22A9" w:rsidRDefault="002E22A9" w:rsidP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Общий объем поднятой воды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0DEE23EA" w14:textId="77777777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E48D18" w14:textId="386D5D61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059753" w14:textId="2020443A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B8B418A" w14:textId="66A48064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5E24AD" w14:textId="22C71CD3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B1B6A6" w14:textId="4457DB9F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B8C1D1" w14:textId="5259026E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4F03BA8" w14:textId="2B890040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2F2D4F82" w14:textId="18102DBE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40 138</w:t>
            </w:r>
          </w:p>
        </w:tc>
      </w:tr>
      <w:tr w:rsidR="00AF6460" w14:paraId="5DAA2CBD" w14:textId="77777777" w:rsidTr="002E22A9">
        <w:trPr>
          <w:trHeight w:val="675"/>
        </w:trPr>
        <w:tc>
          <w:tcPr>
            <w:tcW w:w="1696" w:type="dxa"/>
            <w:vMerge/>
            <w:vAlign w:val="center"/>
          </w:tcPr>
          <w:p w14:paraId="3018F3F2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48535937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потерь воды в централизованных системах водоснабжения при транспортировке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409265B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54723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AFBC2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DD1A87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37B81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9E2E5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63728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42D791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1F8C1FB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</w:tr>
      <w:tr w:rsidR="00AF6460" w14:paraId="10AD48F8" w14:textId="77777777" w:rsidTr="002E22A9">
        <w:trPr>
          <w:trHeight w:val="675"/>
        </w:trPr>
        <w:tc>
          <w:tcPr>
            <w:tcW w:w="1696" w:type="dxa"/>
            <w:vMerge/>
            <w:vAlign w:val="center"/>
          </w:tcPr>
          <w:p w14:paraId="64832666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16650BCC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на собственное производственное потребление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3D82447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88406C" w14:textId="51872633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1C50DF" w14:textId="2C6D3196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8572220" w14:textId="40306F81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C4F86C" w14:textId="34CC31E4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7B1610" w14:textId="3A3294B5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0A1A96" w14:textId="5A5A5BC1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3AABDDD" w14:textId="3A740704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5842AB2A" w14:textId="3545D570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4 022</w:t>
            </w:r>
          </w:p>
        </w:tc>
      </w:tr>
      <w:tr w:rsidR="002E22A9" w14:paraId="083C51F2" w14:textId="77777777" w:rsidTr="002E22A9">
        <w:trPr>
          <w:trHeight w:val="675"/>
        </w:trPr>
        <w:tc>
          <w:tcPr>
            <w:tcW w:w="1696" w:type="dxa"/>
            <w:vMerge/>
            <w:vAlign w:val="center"/>
          </w:tcPr>
          <w:p w14:paraId="62D51C59" w14:textId="77777777" w:rsidR="002E22A9" w:rsidRDefault="002E22A9" w:rsidP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24AD5C66" w14:textId="77777777" w:rsidR="002E22A9" w:rsidRDefault="002E22A9" w:rsidP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Отпуск потребителям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29BE7545" w14:textId="77777777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 м.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A5A519" w14:textId="0F366267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BB5912" w14:textId="4F0D9E9F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154C8BB" w14:textId="6A39AF97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A56275" w14:textId="4C47B8F2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BF0901" w14:textId="63FE2FBA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C957C8" w14:textId="40FFA5AE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D398D90" w14:textId="1D554824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53F8BB75" w14:textId="5A61AB37" w:rsidR="002E22A9" w:rsidRDefault="002E22A9" w:rsidP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D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35 420</w:t>
            </w:r>
          </w:p>
        </w:tc>
      </w:tr>
      <w:tr w:rsidR="00AF6460" w14:paraId="0A5353D5" w14:textId="77777777" w:rsidTr="002E22A9">
        <w:trPr>
          <w:trHeight w:val="1140"/>
        </w:trPr>
        <w:tc>
          <w:tcPr>
            <w:tcW w:w="1696" w:type="dxa"/>
            <w:vMerge/>
            <w:vAlign w:val="center"/>
          </w:tcPr>
          <w:p w14:paraId="0D206D9C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3019B218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по уровню напряжения   НН (0,4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ниже) 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64D213F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14:paraId="6A53DA7E" w14:textId="6AF84141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F1FABA" w14:textId="0810301E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72C7B13" w14:textId="03A77949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7A6902" w14:textId="3F2A3C2C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1B5B27" w14:textId="187338A0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84B073" w14:textId="32B1E7D1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C71F7FA" w14:textId="0275E10F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6B43279B" w14:textId="7A51FE7F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AF6460" w14:paraId="75C5080D" w14:textId="77777777" w:rsidTr="002E22A9">
        <w:trPr>
          <w:trHeight w:val="900"/>
        </w:trPr>
        <w:tc>
          <w:tcPr>
            <w:tcW w:w="1696" w:type="dxa"/>
            <w:vMerge/>
            <w:vAlign w:val="center"/>
          </w:tcPr>
          <w:p w14:paraId="39C3C2DC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shd w:val="clear" w:color="000000" w:fill="FFFFFF"/>
            <w:vAlign w:val="center"/>
          </w:tcPr>
          <w:p w14:paraId="26173968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электрической энергии, потребляемой в технологическом процессе по уровню напряжения   НН (0,4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ниже)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14:paraId="6402093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3D27A8C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38 182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824CB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38 182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2C6807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38 182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3C447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38 182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1AF87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37 419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BA133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37 419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D81059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37 419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14:paraId="49C06A9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37 419</w:t>
            </w:r>
          </w:p>
        </w:tc>
      </w:tr>
    </w:tbl>
    <w:p w14:paraId="22D2D096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98D9B2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3E856E80" w14:textId="77777777">
        <w:trPr>
          <w:trHeight w:val="64"/>
          <w:jc w:val="center"/>
        </w:trPr>
        <w:tc>
          <w:tcPr>
            <w:tcW w:w="4854" w:type="dxa"/>
            <w:shd w:val="clear" w:color="auto" w:fill="auto"/>
          </w:tcPr>
          <w:p w14:paraId="5EE434EA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3CED823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61469C77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D74D8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6CA866B8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1379A28C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3C5D9885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6DB100FA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F6EC8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9C127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6803CE7B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515324D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937AA36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7789A55E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9F97C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51172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397AFE95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FECEC35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Приложение5"/>
      <w:bookmarkEnd w:id="4"/>
    </w:p>
    <w:p w14:paraId="5F2E809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0760A5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35A3B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795D6D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021030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33E95C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8C6C3A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20C602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592BDF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F4C822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AE63B8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345980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5A2AD6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2A3B72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3746E0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A6DDA2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917D05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761BB0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10CD83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A8D245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974399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092B6A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6AD34491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45FA5E52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31013C24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176D0E71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FC4F7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и основные мероприятия по созданию и (или) реконструкции имущества в составе Объектов Соглашения</w:t>
      </w:r>
    </w:p>
    <w:tbl>
      <w:tblPr>
        <w:tblW w:w="15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324"/>
        <w:gridCol w:w="1991"/>
        <w:gridCol w:w="1296"/>
        <w:gridCol w:w="1296"/>
        <w:gridCol w:w="1331"/>
        <w:gridCol w:w="1296"/>
        <w:gridCol w:w="1296"/>
        <w:gridCol w:w="1296"/>
        <w:gridCol w:w="1296"/>
      </w:tblGrid>
      <w:tr w:rsidR="00AF6460" w14:paraId="173E5075" w14:textId="77777777">
        <w:trPr>
          <w:trHeight w:val="735"/>
        </w:trPr>
        <w:tc>
          <w:tcPr>
            <w:tcW w:w="640" w:type="dxa"/>
            <w:vMerge w:val="restart"/>
            <w:shd w:val="clear" w:color="000000" w:fill="FFFFFF"/>
            <w:noWrap/>
            <w:vAlign w:val="center"/>
          </w:tcPr>
          <w:p w14:paraId="36C40F3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4" w:type="dxa"/>
            <w:vMerge w:val="restart"/>
            <w:shd w:val="clear" w:color="000000" w:fill="FFFFFF"/>
            <w:noWrap/>
            <w:vAlign w:val="center"/>
          </w:tcPr>
          <w:p w14:paraId="1A89C3B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14:paraId="32264FE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выполнения мероприятия</w:t>
            </w:r>
          </w:p>
        </w:tc>
        <w:tc>
          <w:tcPr>
            <w:tcW w:w="9086" w:type="dxa"/>
            <w:gridSpan w:val="7"/>
            <w:shd w:val="clear" w:color="000000" w:fill="FFFFFF"/>
            <w:noWrap/>
            <w:vAlign w:val="center"/>
          </w:tcPr>
          <w:p w14:paraId="02D3ED2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AF6460" w14:paraId="18997101" w14:textId="77777777">
        <w:trPr>
          <w:trHeight w:val="600"/>
        </w:trPr>
        <w:tc>
          <w:tcPr>
            <w:tcW w:w="640" w:type="dxa"/>
            <w:vMerge/>
            <w:vAlign w:val="center"/>
          </w:tcPr>
          <w:p w14:paraId="4CA15712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  <w:vAlign w:val="center"/>
          </w:tcPr>
          <w:p w14:paraId="649631B7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vAlign w:val="center"/>
          </w:tcPr>
          <w:p w14:paraId="70FE340F" w14:textId="77777777" w:rsidR="00AF6460" w:rsidRDefault="00AF64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32029F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63F6048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14:paraId="701974A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1B9E20C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31.12.2028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1C5C965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31.12.2029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26FF45F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31.12.2030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2A2CED5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31.12.2031</w:t>
            </w:r>
          </w:p>
        </w:tc>
      </w:tr>
      <w:tr w:rsidR="00AF6460" w14:paraId="0A97ACF3" w14:textId="77777777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</w:tcPr>
          <w:p w14:paraId="519103C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434A25DC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приборов учета ВНС Верхняя-Нижняя с устройством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диспетчерезации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1991" w:type="dxa"/>
            <w:shd w:val="clear" w:color="000000" w:fill="FFFFFF"/>
            <w:noWrap/>
            <w:vAlign w:val="center"/>
          </w:tcPr>
          <w:p w14:paraId="0E9B307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29FA41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716601A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14:paraId="715A700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745 081,67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3587DEC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387B7C3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7458719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000994A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460" w14:paraId="4931AFA4" w14:textId="77777777">
        <w:trPr>
          <w:trHeight w:val="315"/>
        </w:trPr>
        <w:tc>
          <w:tcPr>
            <w:tcW w:w="5955" w:type="dxa"/>
            <w:gridSpan w:val="3"/>
            <w:shd w:val="clear" w:color="000000" w:fill="FFFFFF"/>
            <w:noWrap/>
            <w:vAlign w:val="center"/>
          </w:tcPr>
          <w:p w14:paraId="77D28C30" w14:textId="77777777" w:rsidR="00AF6460" w:rsidRDefault="002E2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2027 год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35917D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6BF4C4C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14:paraId="282D3A0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745 081,67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6A1788E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23EB59B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16DD6E8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47E577C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F6460" w14:paraId="294770F5" w14:textId="77777777">
        <w:trPr>
          <w:trHeight w:val="420"/>
        </w:trPr>
        <w:tc>
          <w:tcPr>
            <w:tcW w:w="3964" w:type="dxa"/>
            <w:gridSpan w:val="2"/>
            <w:shd w:val="clear" w:color="000000" w:fill="FFFFFF"/>
            <w:noWrap/>
            <w:vAlign w:val="center"/>
          </w:tcPr>
          <w:p w14:paraId="122BFAF3" w14:textId="77777777" w:rsidR="00AF6460" w:rsidRDefault="002E2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91" w:type="dxa"/>
            <w:shd w:val="clear" w:color="000000" w:fill="FFFFFF"/>
            <w:noWrap/>
            <w:vAlign w:val="center"/>
          </w:tcPr>
          <w:p w14:paraId="3C4703FC" w14:textId="77777777" w:rsidR="00AF6460" w:rsidRDefault="002E2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745 081,67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B70ADD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7CCAF6E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331" w:type="dxa"/>
            <w:shd w:val="clear" w:color="000000" w:fill="FFFFFF"/>
            <w:noWrap/>
            <w:vAlign w:val="center"/>
          </w:tcPr>
          <w:p w14:paraId="116E491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745 081,67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4EF7D80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1527F72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3941BF9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2A5F68E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34C52C17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46455D43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0B3933F8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C8B5AC1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2577A6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2D6C1DD5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1380A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FB24C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Мочалов </w:t>
            </w:r>
          </w:p>
        </w:tc>
        <w:tc>
          <w:tcPr>
            <w:tcW w:w="4560" w:type="dxa"/>
          </w:tcPr>
          <w:p w14:paraId="35B7DF35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9FAC6AC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A4AD31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C95228B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AFE00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EEEC4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A817C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6636594C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E0C9DFD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515C388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EFB2354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72F13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5B269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A3D10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6E17B3FF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61239E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A0201F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FCEFD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892BB8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5F2947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BF772A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4B4F17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25EE1D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2C9053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5</w:t>
      </w:r>
    </w:p>
    <w:p w14:paraId="3AA98610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488D959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6106F463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62DA57A0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070E9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5309" w:type="dxa"/>
        <w:tblInd w:w="-743" w:type="dxa"/>
        <w:tblLook w:val="04A0" w:firstRow="1" w:lastRow="0" w:firstColumn="1" w:lastColumn="0" w:noHBand="0" w:noVBand="1"/>
      </w:tblPr>
      <w:tblGrid>
        <w:gridCol w:w="960"/>
        <w:gridCol w:w="3435"/>
        <w:gridCol w:w="4536"/>
        <w:gridCol w:w="2268"/>
        <w:gridCol w:w="1984"/>
        <w:gridCol w:w="2126"/>
      </w:tblGrid>
      <w:tr w:rsidR="00AF6460" w14:paraId="0BA22C62" w14:textId="77777777">
        <w:trPr>
          <w:trHeight w:val="12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80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C8F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3B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6F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F3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262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F2F10B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AF6460" w14:paraId="2F14857C" w14:textId="77777777">
        <w:trPr>
          <w:trHeight w:val="381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98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9D8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(верхняя)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75BA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п.ст.Билитуй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Армейский,13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7F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75:06:070102:9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B8D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32F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D2D9B3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75:06:070102:9-75/116/2025-5</w:t>
            </w:r>
          </w:p>
          <w:p w14:paraId="0AF689E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30.05.2025</w:t>
            </w:r>
          </w:p>
        </w:tc>
      </w:tr>
      <w:tr w:rsidR="00AF6460" w14:paraId="11E780D1" w14:textId="77777777">
        <w:trPr>
          <w:trHeight w:val="6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AC7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2BAA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нижняя)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CEAB6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п.ст.Билитуй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Армейский,12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932EA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75:06:070102:10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2273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568840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1B5C5FC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75:06:070102:10-75/116/2025-5</w:t>
            </w:r>
          </w:p>
          <w:p w14:paraId="05791A0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30.05.2025</w:t>
            </w:r>
          </w:p>
        </w:tc>
      </w:tr>
    </w:tbl>
    <w:p w14:paraId="79458D57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C4C4461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7EBEE12B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4E82E28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A3F842F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BEB5C5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6C503755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79FE1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D5914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13FEFBAE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80A0A84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4424EA7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D061AB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B3FA07C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C73D7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4BAD3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00193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173944D6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B1296D1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33097EE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A4174A7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C2519CA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B1C2B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489E6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ADBBA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B0C37A0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BD12BF9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7"/>
      <w:bookmarkEnd w:id="5"/>
    </w:p>
    <w:p w14:paraId="2290EB51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A03FA5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B65FC8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853008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907B79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DD9F42" w14:textId="77777777" w:rsidR="00AF6460" w:rsidRDefault="002E22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 w:clear="all"/>
      </w:r>
    </w:p>
    <w:p w14:paraId="633379B2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</w:t>
      </w:r>
    </w:p>
    <w:p w14:paraId="48D08FE2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042CB25D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41C3446B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7B24A445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7BEDE62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Описание и ТЭП объектов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tbl>
      <w:tblPr>
        <w:tblW w:w="13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6"/>
        <w:gridCol w:w="4677"/>
        <w:gridCol w:w="5954"/>
      </w:tblGrid>
      <w:tr w:rsidR="00AF6460" w14:paraId="4FDC3A83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00661E1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89BF1B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19542F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36D02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AF6460" w14:paraId="24286637" w14:textId="77777777">
        <w:trPr>
          <w:trHeight w:val="1275"/>
        </w:trPr>
        <w:tc>
          <w:tcPr>
            <w:tcW w:w="540" w:type="dxa"/>
            <w:shd w:val="clear" w:color="000000" w:fill="FFFFFF"/>
            <w:vAlign w:val="center"/>
          </w:tcPr>
          <w:p w14:paraId="4EBDA55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 w14:paraId="5C7C7D6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ЗУ 75:06:070102:10</w:t>
            </w:r>
          </w:p>
        </w:tc>
        <w:tc>
          <w:tcPr>
            <w:tcW w:w="4677" w:type="dxa"/>
            <w:shd w:val="clear" w:color="000000" w:fill="FFFFFF"/>
            <w:vAlign w:val="center"/>
          </w:tcPr>
          <w:p w14:paraId="2EE2C15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п.ст.Билитуй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Армейский,12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954" w:type="dxa"/>
            <w:shd w:val="clear" w:color="000000" w:fill="FFFFFF"/>
            <w:vAlign w:val="center"/>
          </w:tcPr>
          <w:p w14:paraId="4C20DF6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12 038,18 кВт*ч</w:t>
            </w:r>
          </w:p>
        </w:tc>
      </w:tr>
      <w:tr w:rsidR="00AF6460" w14:paraId="7FC37F0A" w14:textId="77777777">
        <w:trPr>
          <w:trHeight w:val="1275"/>
        </w:trPr>
        <w:tc>
          <w:tcPr>
            <w:tcW w:w="540" w:type="dxa"/>
            <w:shd w:val="clear" w:color="000000" w:fill="FFFFFF"/>
            <w:vAlign w:val="center"/>
          </w:tcPr>
          <w:p w14:paraId="3CE60AF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 w14:paraId="6040A94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(верхняя)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ЗУ 75:06:070102:9</w:t>
            </w:r>
          </w:p>
        </w:tc>
        <w:tc>
          <w:tcPr>
            <w:tcW w:w="4677" w:type="dxa"/>
            <w:shd w:val="clear" w:color="000000" w:fill="FFFFFF"/>
            <w:vAlign w:val="center"/>
          </w:tcPr>
          <w:p w14:paraId="2BAA33E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п.ст.Билитуй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Армейский,13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954" w:type="dxa"/>
            <w:shd w:val="clear" w:color="000000" w:fill="FFFFFF"/>
            <w:vAlign w:val="center"/>
          </w:tcPr>
          <w:p w14:paraId="3B95E01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18 892,18 кВт*ч</w:t>
            </w:r>
          </w:p>
        </w:tc>
      </w:tr>
    </w:tbl>
    <w:p w14:paraId="09ED9FEB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C1CA274" w14:textId="77777777" w:rsidR="00AF6460" w:rsidRDefault="002E22A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Таблица 1 - Описание и ТЭП объектов водоснабжение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p w14:paraId="71914329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5A956F0B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CCA6205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B1F49D6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605F7F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E3C734A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FA3CB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B6848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343C5B36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0A840448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5A4F396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21622A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FBFA03A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2A909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BA18C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16B8C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5E87C515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19A08DC6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3F6BA1EC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F2FAF08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35A86A6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C3F62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86B77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F9E68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667CBE17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1D1D38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8"/>
      <w:bookmarkEnd w:id="6"/>
    </w:p>
    <w:p w14:paraId="59AC0C40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5ECDEA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0E5B9B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DD1BBB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7DA748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7</w:t>
      </w:r>
    </w:p>
    <w:p w14:paraId="69874088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концессионному соглашению в отношении муниципальных объектов коммунальной</w:t>
      </w:r>
    </w:p>
    <w:p w14:paraId="04C39746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5E8F0130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2F2D877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0B207AB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48DCEA23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по Концессионному соглашению в отношении муниципальных объектов коммунальной </w:t>
      </w:r>
    </w:p>
    <w:p w14:paraId="5E0F1156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Билитуй</w:t>
      </w:r>
    </w:p>
    <w:p w14:paraId="031906A2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02806" w14:textId="77777777" w:rsidR="00AF6460" w:rsidRDefault="002E22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«_____» ______________2025 года</w:t>
      </w:r>
    </w:p>
    <w:p w14:paraId="56AC70B5" w14:textId="77777777" w:rsidR="00AF6460" w:rsidRDefault="00AF6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CAA58" w14:textId="77777777" w:rsidR="00AF6460" w:rsidRDefault="002E22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___________ 20___ года</w:t>
      </w:r>
    </w:p>
    <w:p w14:paraId="53CFBC99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383101F" w14:textId="77777777" w:rsidR="00AF6460" w:rsidRDefault="002E22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360E6D99" w14:textId="77777777" w:rsidR="00AF6460" w:rsidRDefault="002E22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именуемый в дальнейшем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», с одной стороны, Ресурсоснабжающая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 с другой стороны, составили настоящий акт о нижеследующем:</w:t>
      </w:r>
    </w:p>
    <w:p w14:paraId="628F557B" w14:textId="77777777" w:rsidR="00AF6460" w:rsidRDefault="002E22A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передает, а Концессионер принимает следующее имущество:</w:t>
      </w:r>
    </w:p>
    <w:p w14:paraId="2FCF33CA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0299A2" w14:textId="77777777" w:rsidR="00AF6460" w:rsidRDefault="002E22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493"/>
        <w:gridCol w:w="1687"/>
        <w:gridCol w:w="1411"/>
        <w:gridCol w:w="1620"/>
        <w:gridCol w:w="1558"/>
        <w:gridCol w:w="1706"/>
        <w:gridCol w:w="1624"/>
        <w:gridCol w:w="1624"/>
        <w:gridCol w:w="1618"/>
      </w:tblGrid>
      <w:tr w:rsidR="00AF6460" w14:paraId="7F670D15" w14:textId="77777777">
        <w:trPr>
          <w:trHeight w:val="540"/>
        </w:trPr>
        <w:tc>
          <w:tcPr>
            <w:tcW w:w="147" w:type="pct"/>
            <w:vAlign w:val="center"/>
          </w:tcPr>
          <w:p w14:paraId="6DCCC01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62F2A6F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водоснабжения (наименование объекта)</w:t>
            </w:r>
          </w:p>
        </w:tc>
        <w:tc>
          <w:tcPr>
            <w:tcW w:w="559" w:type="pct"/>
            <w:vAlign w:val="center"/>
          </w:tcPr>
          <w:p w14:paraId="11FD60B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40747C1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4FCA356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1B6ECA1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044AC36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4335DB2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 руб.</w:t>
            </w:r>
          </w:p>
        </w:tc>
        <w:tc>
          <w:tcPr>
            <w:tcW w:w="560" w:type="pct"/>
          </w:tcPr>
          <w:p w14:paraId="0424E6CC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16B6D71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AF6460" w14:paraId="7418EF60" w14:textId="77777777">
        <w:trPr>
          <w:trHeight w:val="540"/>
        </w:trPr>
        <w:tc>
          <w:tcPr>
            <w:tcW w:w="147" w:type="pct"/>
          </w:tcPr>
          <w:p w14:paraId="2F6DDC83" w14:textId="77777777" w:rsidR="00AF6460" w:rsidRDefault="00AF6460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24B14710" w14:textId="77777777" w:rsidR="00AF6460" w:rsidRDefault="00AF6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3FFFF080" w14:textId="77777777" w:rsidR="00AF6460" w:rsidRDefault="00AF6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58BA4779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7D54D926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3B1B9219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2BC09656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6541F23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343B368A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5EA82825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460" w14:paraId="4989AA97" w14:textId="77777777">
        <w:trPr>
          <w:trHeight w:val="540"/>
        </w:trPr>
        <w:tc>
          <w:tcPr>
            <w:tcW w:w="147" w:type="pct"/>
          </w:tcPr>
          <w:p w14:paraId="7BA43134" w14:textId="77777777" w:rsidR="00AF6460" w:rsidRDefault="00AF6460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500977E" w14:textId="77777777" w:rsidR="00AF6460" w:rsidRDefault="00AF6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62C0A380" w14:textId="77777777" w:rsidR="00AF6460" w:rsidRDefault="00AF6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134D4077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5AEDC57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7047B78A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A592358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8ADA456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8864804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328593F3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62507A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B62831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0D1C5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EC30AF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14734D" w14:textId="77777777" w:rsidR="00AF6460" w:rsidRDefault="002E22A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5675"/>
        <w:gridCol w:w="8659"/>
      </w:tblGrid>
      <w:tr w:rsidR="00AF6460" w14:paraId="6E64C7CA" w14:textId="77777777">
        <w:trPr>
          <w:trHeight w:val="540"/>
        </w:trPr>
        <w:tc>
          <w:tcPr>
            <w:tcW w:w="153" w:type="pct"/>
            <w:vAlign w:val="center"/>
          </w:tcPr>
          <w:p w14:paraId="149846F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30E80EA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водоснабжения (наименование объекта)</w:t>
            </w:r>
          </w:p>
        </w:tc>
        <w:tc>
          <w:tcPr>
            <w:tcW w:w="2928" w:type="pct"/>
            <w:vAlign w:val="center"/>
          </w:tcPr>
          <w:p w14:paraId="518820F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 (Балансовая / Остаточная стоимость, руб.)</w:t>
            </w:r>
          </w:p>
        </w:tc>
      </w:tr>
      <w:tr w:rsidR="00AF6460" w14:paraId="71BC9BDB" w14:textId="77777777">
        <w:trPr>
          <w:trHeight w:val="540"/>
        </w:trPr>
        <w:tc>
          <w:tcPr>
            <w:tcW w:w="153" w:type="pct"/>
          </w:tcPr>
          <w:p w14:paraId="2B519575" w14:textId="77777777" w:rsidR="00AF6460" w:rsidRDefault="00AF6460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73DF73C1" w14:textId="77777777" w:rsidR="00AF6460" w:rsidRDefault="00AF6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5E68B38A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B421E2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84C8B8" w14:textId="77777777" w:rsidR="00AF6460" w:rsidRDefault="002E22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19153129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0B9E2D" w14:textId="77777777" w:rsidR="00AF6460" w:rsidRDefault="002E22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21C00B9A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89D1F5" w14:textId="77777777" w:rsidR="00AF6460" w:rsidRDefault="002E22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Росреестра по Забайкальскому краю.</w:t>
      </w:r>
    </w:p>
    <w:p w14:paraId="45489AFD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6EC6D6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CEBAEF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E64FB2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8C36A8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19A074" w14:textId="77777777" w:rsidR="00AF6460" w:rsidRDefault="00AF64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4F2BA2D8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4C2D3850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DD63B69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B22FFF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34E7FF10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0CFD8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272CD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6D1AFA70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F067DF8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71B607E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51B3F6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971DDAE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212AE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39F70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859D6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560B51E3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B516814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D128F59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C121921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D5AF1FD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23912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4504A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98FE2D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1A5BCF47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8132051" w14:textId="77777777" w:rsidR="00AF6460" w:rsidRDefault="002E22A9">
      <w:pPr>
        <w:tabs>
          <w:tab w:val="left" w:pos="10745"/>
        </w:tabs>
        <w:spacing w:after="0" w:line="240" w:lineRule="auto"/>
      </w:pPr>
      <w:r>
        <w:br w:type="page" w:clear="all"/>
      </w:r>
      <w:r>
        <w:lastRenderedPageBreak/>
        <w:tab/>
      </w:r>
    </w:p>
    <w:p w14:paraId="70CBBA2F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Приложение9"/>
      <w:bookmarkEnd w:id="7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8</w:t>
      </w:r>
    </w:p>
    <w:p w14:paraId="52B29974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концессионному соглашению в отношении муниципальных объектов коммунальной</w:t>
      </w:r>
    </w:p>
    <w:p w14:paraId="28B5E510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65215C32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4BDACBA5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C35ED9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отчёта Концессионера</w:t>
      </w:r>
    </w:p>
    <w:p w14:paraId="191A5F82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выполнению мероприятий по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82"/>
        <w:gridCol w:w="2785"/>
        <w:gridCol w:w="2782"/>
        <w:gridCol w:w="2785"/>
        <w:gridCol w:w="2782"/>
      </w:tblGrid>
      <w:tr w:rsidR="00AF6460" w14:paraId="3BF7B143" w14:textId="77777777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</w:tcPr>
          <w:p w14:paraId="23CECC4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F808A2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140CE6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7E3A8C1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271D76A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305D709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0BB4D96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404ECA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F6460" w14:paraId="79823DEB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2858351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AF8FCA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D01A24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62BC6C0A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189B670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B28DBB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6460" w14:paraId="0FB2799A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148E47E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16A03C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B1F910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150AB78C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73023B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CD7039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6460" w14:paraId="3B242C52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4CEFBB3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3EE4EF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8589B6C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4A4F4677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E4F20F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CB0867D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6460" w14:paraId="128E968F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75C5277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789079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EF4ADE1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1BBF66E9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18DBA7C7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DC03A6F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6460" w14:paraId="77E0A27C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0332A47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8DB819B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807E922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52879551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67827B5" w14:textId="77777777" w:rsidR="00AF6460" w:rsidRDefault="00A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A98181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6460" w14:paraId="6BDB16ED" w14:textId="77777777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</w:tcPr>
          <w:p w14:paraId="7FC66C79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7A3C60DB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795C97FB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703F8412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4FBAAB89" w14:textId="77777777" w:rsidR="00AF6460" w:rsidRDefault="002E22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4753907E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4F0B642E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30F09B6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2F44C27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11A677D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D00DF6F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5886190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13D304" w14:textId="77777777" w:rsidR="00AF6460" w:rsidRDefault="00AF64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6A66C8A5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F93041C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611A732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482147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50315ADD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7A15C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60E6D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44145ACB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5BEBE680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3F6A4A8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176094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3E0D34D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6FA08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2BC35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AF2AE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CBCDB3F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6433D826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33F828F6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2482235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45537FA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13ACD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9A129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8A82A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11184048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42C4E84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  <w:sectPr w:rsidR="00AF646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32CCD8FF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9</w:t>
      </w:r>
    </w:p>
    <w:p w14:paraId="77AD8D91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581CF932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6A90E760" w14:textId="77777777" w:rsidR="00AF6460" w:rsidRDefault="002E2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4094383" w14:textId="77777777" w:rsidR="00AF6460" w:rsidRDefault="00AF64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26FD92D" w14:textId="77777777" w:rsidR="00AF6460" w:rsidRDefault="002E22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настоящего Соглашения*</w:t>
      </w:r>
    </w:p>
    <w:p w14:paraId="17EB4BFF" w14:textId="77777777" w:rsidR="00AF6460" w:rsidRDefault="00AF646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8CF3567" w14:textId="77777777" w:rsidR="00AF6460" w:rsidRDefault="002E22A9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Объем валовой выручки, получаемой Концессионером в рамках реализации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соглашения. (без НДС).</w:t>
      </w:r>
    </w:p>
    <w:p w14:paraId="00409101" w14:textId="77777777" w:rsidR="00AF6460" w:rsidRDefault="002E22A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водоснабжения </w:t>
      </w:r>
      <w:r>
        <w:rPr>
          <w:rFonts w:ascii="Times New Roman" w:hAnsi="Times New Roman"/>
          <w:sz w:val="24"/>
          <w:szCs w:val="24"/>
          <w:lang w:eastAsia="ar-SA"/>
        </w:rPr>
        <w:t>на каждый год срока действия концессионного соглашения</w:t>
      </w:r>
    </w:p>
    <w:p w14:paraId="48078C02" w14:textId="77777777" w:rsidR="00AF6460" w:rsidRDefault="002E22A9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тыс. руб.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AF6460" w14:paraId="5BBDE4AD" w14:textId="7777777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ED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BF8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5AF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CC4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D6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9EA3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AFF9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DEB6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2031 год</w:t>
            </w:r>
          </w:p>
        </w:tc>
      </w:tr>
      <w:tr w:rsidR="00AF6460" w14:paraId="1B9DF03A" w14:textId="77777777">
        <w:trPr>
          <w:trHeight w:val="300"/>
        </w:trPr>
        <w:tc>
          <w:tcPr>
            <w:tcW w:w="22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A4A8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726A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6 075,91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F485" w14:textId="77777777" w:rsidR="00AF6460" w:rsidRDefault="002E2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6 249,15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6C02" w14:textId="036AED02" w:rsidR="00AF6460" w:rsidRDefault="00EF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6 648,30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4C76" w14:textId="075DF64C" w:rsidR="00AF6460" w:rsidRDefault="00EF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6 982,51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72C81" w14:textId="70B2FD46" w:rsidR="00AF6460" w:rsidRDefault="00EF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7 054,39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2F7F9" w14:textId="45FFC9AF" w:rsidR="00AF6460" w:rsidRDefault="00EF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7 161,93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049E" w14:textId="4AC91DA6" w:rsidR="00AF6460" w:rsidRDefault="00EF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7 275,61</w:t>
            </w:r>
          </w:p>
        </w:tc>
      </w:tr>
    </w:tbl>
    <w:p w14:paraId="151597D9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86F0AD6" w14:textId="77777777" w:rsidR="00AF6460" w:rsidRDefault="002E22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регулируемой организации.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56FFBDFC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2C284B55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bookmarkStart w:id="8" w:name="_GoBack"/>
      <w:bookmarkEnd w:id="8"/>
    </w:p>
    <w:p w14:paraId="20DECD1A" w14:textId="77777777" w:rsidR="00AF6460" w:rsidRDefault="00AF646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AF6460" w14:paraId="19786142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E6F3464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B39A0EB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DF20E0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6FD127B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AE21B" w14:textId="77777777" w:rsidR="00AF6460" w:rsidRDefault="00AF6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11587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6C23AF36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0059C49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2496520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B956D7" w14:textId="77777777" w:rsidR="00AF6460" w:rsidRDefault="002E22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5454441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85CC4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B74F1" w14:textId="77777777" w:rsidR="00AF6460" w:rsidRDefault="00AF64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1FBB3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E51B3B5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F67EAA4" w14:textId="77777777" w:rsidR="00AF6460" w:rsidRDefault="002E2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20A15EC9" w14:textId="77777777" w:rsidR="00AF6460" w:rsidRDefault="00AF6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9BE0A40" w14:textId="77777777" w:rsidR="00AF6460" w:rsidRDefault="002E2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A9C3329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373AE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98E23" w14:textId="77777777" w:rsidR="00AF6460" w:rsidRDefault="00AF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EA9D5" w14:textId="77777777" w:rsidR="00AF6460" w:rsidRDefault="002E22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0B63767" w14:textId="77777777" w:rsidR="00AF6460" w:rsidRDefault="00AF64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37D7C0" w14:textId="77777777" w:rsidR="00AF6460" w:rsidRDefault="00AF64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AF6460">
      <w:pgSz w:w="16840" w:h="11907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1C99" w14:textId="77777777" w:rsidR="0057012F" w:rsidRDefault="0057012F">
      <w:pPr>
        <w:spacing w:after="0" w:line="240" w:lineRule="auto"/>
      </w:pPr>
      <w:r>
        <w:separator/>
      </w:r>
    </w:p>
  </w:endnote>
  <w:endnote w:type="continuationSeparator" w:id="0">
    <w:p w14:paraId="417143AF" w14:textId="77777777" w:rsidR="0057012F" w:rsidRDefault="0057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163C" w14:textId="77777777" w:rsidR="002E22A9" w:rsidRDefault="002E22A9">
    <w:pPr>
      <w:pStyle w:val="af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29</w:t>
    </w:r>
    <w:r>
      <w:rPr>
        <w:rFonts w:ascii="Times New Roman" w:hAnsi="Times New Roman"/>
      </w:rPr>
      <w:fldChar w:fldCharType="end"/>
    </w:r>
  </w:p>
  <w:p w14:paraId="09E6D6B0" w14:textId="77777777" w:rsidR="002E22A9" w:rsidRDefault="002E22A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7924" w14:textId="77777777" w:rsidR="0057012F" w:rsidRDefault="0057012F">
      <w:pPr>
        <w:spacing w:after="0" w:line="240" w:lineRule="auto"/>
      </w:pPr>
      <w:r>
        <w:separator/>
      </w:r>
    </w:p>
  </w:footnote>
  <w:footnote w:type="continuationSeparator" w:id="0">
    <w:p w14:paraId="17799431" w14:textId="77777777" w:rsidR="0057012F" w:rsidRDefault="0057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7C1"/>
    <w:multiLevelType w:val="hybridMultilevel"/>
    <w:tmpl w:val="3DC4EBF2"/>
    <w:lvl w:ilvl="0" w:tplc="51580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622A74">
      <w:start w:val="1"/>
      <w:numFmt w:val="lowerLetter"/>
      <w:lvlText w:val="%2."/>
      <w:lvlJc w:val="left"/>
      <w:pPr>
        <w:ind w:left="1364" w:hanging="360"/>
      </w:pPr>
    </w:lvl>
    <w:lvl w:ilvl="2" w:tplc="E8B8708A">
      <w:start w:val="1"/>
      <w:numFmt w:val="lowerRoman"/>
      <w:lvlText w:val="%3."/>
      <w:lvlJc w:val="right"/>
      <w:pPr>
        <w:ind w:left="2084" w:hanging="180"/>
      </w:pPr>
    </w:lvl>
    <w:lvl w:ilvl="3" w:tplc="F9583F90">
      <w:start w:val="1"/>
      <w:numFmt w:val="decimal"/>
      <w:lvlText w:val="%4."/>
      <w:lvlJc w:val="left"/>
      <w:pPr>
        <w:ind w:left="2804" w:hanging="360"/>
      </w:pPr>
    </w:lvl>
    <w:lvl w:ilvl="4" w:tplc="C2303188">
      <w:start w:val="1"/>
      <w:numFmt w:val="lowerLetter"/>
      <w:lvlText w:val="%5."/>
      <w:lvlJc w:val="left"/>
      <w:pPr>
        <w:ind w:left="3524" w:hanging="360"/>
      </w:pPr>
    </w:lvl>
    <w:lvl w:ilvl="5" w:tplc="A8ECD40C">
      <w:start w:val="1"/>
      <w:numFmt w:val="lowerRoman"/>
      <w:lvlText w:val="%6."/>
      <w:lvlJc w:val="right"/>
      <w:pPr>
        <w:ind w:left="4244" w:hanging="180"/>
      </w:pPr>
    </w:lvl>
    <w:lvl w:ilvl="6" w:tplc="57920898">
      <w:start w:val="1"/>
      <w:numFmt w:val="decimal"/>
      <w:lvlText w:val="%7."/>
      <w:lvlJc w:val="left"/>
      <w:pPr>
        <w:ind w:left="4964" w:hanging="360"/>
      </w:pPr>
    </w:lvl>
    <w:lvl w:ilvl="7" w:tplc="02D4EB92">
      <w:start w:val="1"/>
      <w:numFmt w:val="lowerLetter"/>
      <w:lvlText w:val="%8."/>
      <w:lvlJc w:val="left"/>
      <w:pPr>
        <w:ind w:left="5684" w:hanging="360"/>
      </w:pPr>
    </w:lvl>
    <w:lvl w:ilvl="8" w:tplc="C6F64CD4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C64DB7"/>
    <w:multiLevelType w:val="multilevel"/>
    <w:tmpl w:val="52E81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A53ECB"/>
    <w:multiLevelType w:val="multilevel"/>
    <w:tmpl w:val="15FA6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E54D5"/>
    <w:multiLevelType w:val="multilevel"/>
    <w:tmpl w:val="C2E2E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5595B"/>
    <w:multiLevelType w:val="multilevel"/>
    <w:tmpl w:val="99CC9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A521F7"/>
    <w:multiLevelType w:val="multilevel"/>
    <w:tmpl w:val="F0684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794A1E"/>
    <w:multiLevelType w:val="multilevel"/>
    <w:tmpl w:val="6930D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C6C67"/>
    <w:multiLevelType w:val="hybridMultilevel"/>
    <w:tmpl w:val="017C5E92"/>
    <w:lvl w:ilvl="0" w:tplc="7F88FAA2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B5227B6A">
      <w:start w:val="1"/>
      <w:numFmt w:val="lowerLetter"/>
      <w:lvlText w:val="%2."/>
      <w:lvlJc w:val="left"/>
      <w:pPr>
        <w:ind w:left="1440" w:hanging="360"/>
      </w:pPr>
    </w:lvl>
    <w:lvl w:ilvl="2" w:tplc="0268C040">
      <w:start w:val="1"/>
      <w:numFmt w:val="lowerRoman"/>
      <w:lvlText w:val="%3."/>
      <w:lvlJc w:val="right"/>
      <w:pPr>
        <w:ind w:left="2160" w:hanging="180"/>
      </w:pPr>
    </w:lvl>
    <w:lvl w:ilvl="3" w:tplc="E0828AA0">
      <w:start w:val="1"/>
      <w:numFmt w:val="decimal"/>
      <w:lvlText w:val="%4."/>
      <w:lvlJc w:val="left"/>
      <w:pPr>
        <w:ind w:left="2880" w:hanging="360"/>
      </w:pPr>
    </w:lvl>
    <w:lvl w:ilvl="4" w:tplc="905A3F2C">
      <w:start w:val="1"/>
      <w:numFmt w:val="lowerLetter"/>
      <w:lvlText w:val="%5."/>
      <w:lvlJc w:val="left"/>
      <w:pPr>
        <w:ind w:left="3600" w:hanging="360"/>
      </w:pPr>
    </w:lvl>
    <w:lvl w:ilvl="5" w:tplc="E22C3FAE">
      <w:start w:val="1"/>
      <w:numFmt w:val="lowerRoman"/>
      <w:lvlText w:val="%6."/>
      <w:lvlJc w:val="right"/>
      <w:pPr>
        <w:ind w:left="4320" w:hanging="180"/>
      </w:pPr>
    </w:lvl>
    <w:lvl w:ilvl="6" w:tplc="4FE45372">
      <w:start w:val="1"/>
      <w:numFmt w:val="decimal"/>
      <w:lvlText w:val="%7."/>
      <w:lvlJc w:val="left"/>
      <w:pPr>
        <w:ind w:left="5040" w:hanging="360"/>
      </w:pPr>
    </w:lvl>
    <w:lvl w:ilvl="7" w:tplc="BF548936">
      <w:start w:val="1"/>
      <w:numFmt w:val="lowerLetter"/>
      <w:lvlText w:val="%8."/>
      <w:lvlJc w:val="left"/>
      <w:pPr>
        <w:ind w:left="5760" w:hanging="360"/>
      </w:pPr>
    </w:lvl>
    <w:lvl w:ilvl="8" w:tplc="7B282A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2D5"/>
    <w:multiLevelType w:val="multilevel"/>
    <w:tmpl w:val="1EA4E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0B2BCE"/>
    <w:multiLevelType w:val="hybridMultilevel"/>
    <w:tmpl w:val="5420AFEA"/>
    <w:lvl w:ilvl="0" w:tplc="23F01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42A06">
      <w:start w:val="1"/>
      <w:numFmt w:val="lowerLetter"/>
      <w:lvlText w:val="%2."/>
      <w:lvlJc w:val="left"/>
      <w:pPr>
        <w:ind w:left="1440" w:hanging="360"/>
      </w:pPr>
    </w:lvl>
    <w:lvl w:ilvl="2" w:tplc="90B29E9C">
      <w:start w:val="1"/>
      <w:numFmt w:val="lowerRoman"/>
      <w:lvlText w:val="%3."/>
      <w:lvlJc w:val="right"/>
      <w:pPr>
        <w:ind w:left="2160" w:hanging="180"/>
      </w:pPr>
    </w:lvl>
    <w:lvl w:ilvl="3" w:tplc="5052B3DE">
      <w:start w:val="1"/>
      <w:numFmt w:val="decimal"/>
      <w:lvlText w:val="%4."/>
      <w:lvlJc w:val="left"/>
      <w:pPr>
        <w:ind w:left="2880" w:hanging="360"/>
      </w:pPr>
    </w:lvl>
    <w:lvl w:ilvl="4" w:tplc="F58CC598">
      <w:start w:val="1"/>
      <w:numFmt w:val="lowerLetter"/>
      <w:lvlText w:val="%5."/>
      <w:lvlJc w:val="left"/>
      <w:pPr>
        <w:ind w:left="3600" w:hanging="360"/>
      </w:pPr>
    </w:lvl>
    <w:lvl w:ilvl="5" w:tplc="CEB2FE46">
      <w:start w:val="1"/>
      <w:numFmt w:val="lowerRoman"/>
      <w:lvlText w:val="%6."/>
      <w:lvlJc w:val="right"/>
      <w:pPr>
        <w:ind w:left="4320" w:hanging="180"/>
      </w:pPr>
    </w:lvl>
    <w:lvl w:ilvl="6" w:tplc="87484DE8">
      <w:start w:val="1"/>
      <w:numFmt w:val="decimal"/>
      <w:lvlText w:val="%7."/>
      <w:lvlJc w:val="left"/>
      <w:pPr>
        <w:ind w:left="5040" w:hanging="360"/>
      </w:pPr>
    </w:lvl>
    <w:lvl w:ilvl="7" w:tplc="1270BE58">
      <w:start w:val="1"/>
      <w:numFmt w:val="lowerLetter"/>
      <w:lvlText w:val="%8."/>
      <w:lvlJc w:val="left"/>
      <w:pPr>
        <w:ind w:left="5760" w:hanging="360"/>
      </w:pPr>
    </w:lvl>
    <w:lvl w:ilvl="8" w:tplc="DB6EAD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7802"/>
    <w:multiLevelType w:val="multilevel"/>
    <w:tmpl w:val="D3F4D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830711"/>
    <w:multiLevelType w:val="hybridMultilevel"/>
    <w:tmpl w:val="AAD07440"/>
    <w:lvl w:ilvl="0" w:tplc="59C6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21B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429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4C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E2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A33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60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E2E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C0A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52EBB"/>
    <w:multiLevelType w:val="multilevel"/>
    <w:tmpl w:val="69F45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99559B"/>
    <w:multiLevelType w:val="multilevel"/>
    <w:tmpl w:val="C35A0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D82C8B"/>
    <w:multiLevelType w:val="multilevel"/>
    <w:tmpl w:val="D0085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8B9"/>
    <w:multiLevelType w:val="hybridMultilevel"/>
    <w:tmpl w:val="1C9C0CC4"/>
    <w:lvl w:ilvl="0" w:tplc="17626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34DEAE">
      <w:start w:val="1"/>
      <w:numFmt w:val="lowerLetter"/>
      <w:lvlText w:val="%2."/>
      <w:lvlJc w:val="left"/>
      <w:pPr>
        <w:ind w:left="1440" w:hanging="360"/>
      </w:pPr>
    </w:lvl>
    <w:lvl w:ilvl="2" w:tplc="630AF450">
      <w:start w:val="1"/>
      <w:numFmt w:val="lowerRoman"/>
      <w:lvlText w:val="%3."/>
      <w:lvlJc w:val="right"/>
      <w:pPr>
        <w:ind w:left="2160" w:hanging="180"/>
      </w:pPr>
    </w:lvl>
    <w:lvl w:ilvl="3" w:tplc="2A58EED6">
      <w:start w:val="1"/>
      <w:numFmt w:val="decimal"/>
      <w:lvlText w:val="%4."/>
      <w:lvlJc w:val="left"/>
      <w:pPr>
        <w:ind w:left="2880" w:hanging="360"/>
      </w:pPr>
    </w:lvl>
    <w:lvl w:ilvl="4" w:tplc="421481A6">
      <w:start w:val="1"/>
      <w:numFmt w:val="lowerLetter"/>
      <w:lvlText w:val="%5."/>
      <w:lvlJc w:val="left"/>
      <w:pPr>
        <w:ind w:left="3600" w:hanging="360"/>
      </w:pPr>
    </w:lvl>
    <w:lvl w:ilvl="5" w:tplc="2866196C">
      <w:start w:val="1"/>
      <w:numFmt w:val="lowerRoman"/>
      <w:lvlText w:val="%6."/>
      <w:lvlJc w:val="right"/>
      <w:pPr>
        <w:ind w:left="4320" w:hanging="180"/>
      </w:pPr>
    </w:lvl>
    <w:lvl w:ilvl="6" w:tplc="9912E0EE">
      <w:start w:val="1"/>
      <w:numFmt w:val="decimal"/>
      <w:lvlText w:val="%7."/>
      <w:lvlJc w:val="left"/>
      <w:pPr>
        <w:ind w:left="5040" w:hanging="360"/>
      </w:pPr>
    </w:lvl>
    <w:lvl w:ilvl="7" w:tplc="C21A0A7C">
      <w:start w:val="1"/>
      <w:numFmt w:val="lowerLetter"/>
      <w:lvlText w:val="%8."/>
      <w:lvlJc w:val="left"/>
      <w:pPr>
        <w:ind w:left="5760" w:hanging="360"/>
      </w:pPr>
    </w:lvl>
    <w:lvl w:ilvl="8" w:tplc="8A429C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72EA5"/>
    <w:multiLevelType w:val="hybridMultilevel"/>
    <w:tmpl w:val="3CF4EF64"/>
    <w:lvl w:ilvl="0" w:tplc="79926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C955E">
      <w:start w:val="1"/>
      <w:numFmt w:val="lowerLetter"/>
      <w:lvlText w:val="%2."/>
      <w:lvlJc w:val="left"/>
      <w:pPr>
        <w:ind w:left="1440" w:hanging="360"/>
      </w:pPr>
    </w:lvl>
    <w:lvl w:ilvl="2" w:tplc="A7641F8A">
      <w:start w:val="1"/>
      <w:numFmt w:val="lowerRoman"/>
      <w:lvlText w:val="%3."/>
      <w:lvlJc w:val="right"/>
      <w:pPr>
        <w:ind w:left="2160" w:hanging="180"/>
      </w:pPr>
    </w:lvl>
    <w:lvl w:ilvl="3" w:tplc="323EF6C8">
      <w:start w:val="1"/>
      <w:numFmt w:val="decimal"/>
      <w:lvlText w:val="%4."/>
      <w:lvlJc w:val="left"/>
      <w:pPr>
        <w:ind w:left="2880" w:hanging="360"/>
      </w:pPr>
    </w:lvl>
    <w:lvl w:ilvl="4" w:tplc="074A0654">
      <w:start w:val="1"/>
      <w:numFmt w:val="lowerLetter"/>
      <w:lvlText w:val="%5."/>
      <w:lvlJc w:val="left"/>
      <w:pPr>
        <w:ind w:left="3600" w:hanging="360"/>
      </w:pPr>
    </w:lvl>
    <w:lvl w:ilvl="5" w:tplc="1BF8695E">
      <w:start w:val="1"/>
      <w:numFmt w:val="lowerRoman"/>
      <w:lvlText w:val="%6."/>
      <w:lvlJc w:val="right"/>
      <w:pPr>
        <w:ind w:left="4320" w:hanging="180"/>
      </w:pPr>
    </w:lvl>
    <w:lvl w:ilvl="6" w:tplc="C9DEDBA8">
      <w:start w:val="1"/>
      <w:numFmt w:val="decimal"/>
      <w:lvlText w:val="%7."/>
      <w:lvlJc w:val="left"/>
      <w:pPr>
        <w:ind w:left="5040" w:hanging="360"/>
      </w:pPr>
    </w:lvl>
    <w:lvl w:ilvl="7" w:tplc="4504418E">
      <w:start w:val="1"/>
      <w:numFmt w:val="lowerLetter"/>
      <w:lvlText w:val="%8."/>
      <w:lvlJc w:val="left"/>
      <w:pPr>
        <w:ind w:left="5760" w:hanging="360"/>
      </w:pPr>
    </w:lvl>
    <w:lvl w:ilvl="8" w:tplc="487876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0275A"/>
    <w:multiLevelType w:val="multilevel"/>
    <w:tmpl w:val="BE229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6248B3"/>
    <w:multiLevelType w:val="hybridMultilevel"/>
    <w:tmpl w:val="863C4F34"/>
    <w:lvl w:ilvl="0" w:tplc="04C6612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6EABD04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BCF456E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9E386B96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DDB4BF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E0E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A9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AA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40B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A2697"/>
    <w:multiLevelType w:val="hybridMultilevel"/>
    <w:tmpl w:val="4FF62818"/>
    <w:lvl w:ilvl="0" w:tplc="AB7E7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27904">
      <w:start w:val="1"/>
      <w:numFmt w:val="lowerLetter"/>
      <w:lvlText w:val="%2."/>
      <w:lvlJc w:val="left"/>
      <w:pPr>
        <w:ind w:left="1440" w:hanging="360"/>
      </w:pPr>
    </w:lvl>
    <w:lvl w:ilvl="2" w:tplc="0282AF3A">
      <w:start w:val="1"/>
      <w:numFmt w:val="lowerRoman"/>
      <w:lvlText w:val="%3."/>
      <w:lvlJc w:val="right"/>
      <w:pPr>
        <w:ind w:left="2160" w:hanging="180"/>
      </w:pPr>
    </w:lvl>
    <w:lvl w:ilvl="3" w:tplc="D5A601DA">
      <w:start w:val="1"/>
      <w:numFmt w:val="decimal"/>
      <w:lvlText w:val="%4."/>
      <w:lvlJc w:val="left"/>
      <w:pPr>
        <w:ind w:left="2880" w:hanging="360"/>
      </w:pPr>
    </w:lvl>
    <w:lvl w:ilvl="4" w:tplc="80944474">
      <w:start w:val="1"/>
      <w:numFmt w:val="lowerLetter"/>
      <w:lvlText w:val="%5."/>
      <w:lvlJc w:val="left"/>
      <w:pPr>
        <w:ind w:left="3600" w:hanging="360"/>
      </w:pPr>
    </w:lvl>
    <w:lvl w:ilvl="5" w:tplc="A04E4C5C">
      <w:start w:val="1"/>
      <w:numFmt w:val="lowerRoman"/>
      <w:lvlText w:val="%6."/>
      <w:lvlJc w:val="right"/>
      <w:pPr>
        <w:ind w:left="4320" w:hanging="180"/>
      </w:pPr>
    </w:lvl>
    <w:lvl w:ilvl="6" w:tplc="E4CE39F8">
      <w:start w:val="1"/>
      <w:numFmt w:val="decimal"/>
      <w:lvlText w:val="%7."/>
      <w:lvlJc w:val="left"/>
      <w:pPr>
        <w:ind w:left="5040" w:hanging="360"/>
      </w:pPr>
    </w:lvl>
    <w:lvl w:ilvl="7" w:tplc="2E6E901C">
      <w:start w:val="1"/>
      <w:numFmt w:val="lowerLetter"/>
      <w:lvlText w:val="%8."/>
      <w:lvlJc w:val="left"/>
      <w:pPr>
        <w:ind w:left="5760" w:hanging="360"/>
      </w:pPr>
    </w:lvl>
    <w:lvl w:ilvl="8" w:tplc="F19463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D7F31"/>
    <w:multiLevelType w:val="hybridMultilevel"/>
    <w:tmpl w:val="BA34ED2E"/>
    <w:lvl w:ilvl="0" w:tplc="7B225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A263E">
      <w:start w:val="1"/>
      <w:numFmt w:val="lowerLetter"/>
      <w:lvlText w:val="%2."/>
      <w:lvlJc w:val="left"/>
      <w:pPr>
        <w:ind w:left="1440" w:hanging="360"/>
      </w:pPr>
    </w:lvl>
    <w:lvl w:ilvl="2" w:tplc="75269194">
      <w:start w:val="1"/>
      <w:numFmt w:val="lowerRoman"/>
      <w:lvlText w:val="%3."/>
      <w:lvlJc w:val="right"/>
      <w:pPr>
        <w:ind w:left="2160" w:hanging="180"/>
      </w:pPr>
    </w:lvl>
    <w:lvl w:ilvl="3" w:tplc="45CC1D86">
      <w:start w:val="1"/>
      <w:numFmt w:val="decimal"/>
      <w:lvlText w:val="%4."/>
      <w:lvlJc w:val="left"/>
      <w:pPr>
        <w:ind w:left="2880" w:hanging="360"/>
      </w:pPr>
    </w:lvl>
    <w:lvl w:ilvl="4" w:tplc="26DACD4C">
      <w:start w:val="1"/>
      <w:numFmt w:val="lowerLetter"/>
      <w:lvlText w:val="%5."/>
      <w:lvlJc w:val="left"/>
      <w:pPr>
        <w:ind w:left="3600" w:hanging="360"/>
      </w:pPr>
    </w:lvl>
    <w:lvl w:ilvl="5" w:tplc="5072A0B6">
      <w:start w:val="1"/>
      <w:numFmt w:val="lowerRoman"/>
      <w:lvlText w:val="%6."/>
      <w:lvlJc w:val="right"/>
      <w:pPr>
        <w:ind w:left="4320" w:hanging="180"/>
      </w:pPr>
    </w:lvl>
    <w:lvl w:ilvl="6" w:tplc="050855F8">
      <w:start w:val="1"/>
      <w:numFmt w:val="decimal"/>
      <w:lvlText w:val="%7."/>
      <w:lvlJc w:val="left"/>
      <w:pPr>
        <w:ind w:left="5040" w:hanging="360"/>
      </w:pPr>
    </w:lvl>
    <w:lvl w:ilvl="7" w:tplc="86ACE140">
      <w:start w:val="1"/>
      <w:numFmt w:val="lowerLetter"/>
      <w:lvlText w:val="%8."/>
      <w:lvlJc w:val="left"/>
      <w:pPr>
        <w:ind w:left="5760" w:hanging="360"/>
      </w:pPr>
    </w:lvl>
    <w:lvl w:ilvl="8" w:tplc="16181DC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57C3"/>
    <w:multiLevelType w:val="multilevel"/>
    <w:tmpl w:val="0540C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B80CA1"/>
    <w:multiLevelType w:val="multilevel"/>
    <w:tmpl w:val="E8DAB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B236C3"/>
    <w:multiLevelType w:val="multilevel"/>
    <w:tmpl w:val="2D64A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DF32E3"/>
    <w:multiLevelType w:val="hybridMultilevel"/>
    <w:tmpl w:val="C0CC027C"/>
    <w:lvl w:ilvl="0" w:tplc="8D545C0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F9C4C0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5B0A43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794AB7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A2AAE0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1AEBAA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B6E3A8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90AA67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20843D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5C575C9"/>
    <w:multiLevelType w:val="multilevel"/>
    <w:tmpl w:val="5D98E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E120E5"/>
    <w:multiLevelType w:val="multilevel"/>
    <w:tmpl w:val="4B32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69D3096A"/>
    <w:multiLevelType w:val="multilevel"/>
    <w:tmpl w:val="D5862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2D7189"/>
    <w:multiLevelType w:val="hybridMultilevel"/>
    <w:tmpl w:val="D390D10A"/>
    <w:lvl w:ilvl="0" w:tplc="20D02F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987688">
      <w:start w:val="1"/>
      <w:numFmt w:val="lowerLetter"/>
      <w:lvlText w:val="%2."/>
      <w:lvlJc w:val="left"/>
      <w:pPr>
        <w:ind w:left="1364" w:hanging="360"/>
      </w:pPr>
    </w:lvl>
    <w:lvl w:ilvl="2" w:tplc="C92646B0">
      <w:start w:val="1"/>
      <w:numFmt w:val="lowerRoman"/>
      <w:lvlText w:val="%3."/>
      <w:lvlJc w:val="right"/>
      <w:pPr>
        <w:ind w:left="2084" w:hanging="180"/>
      </w:pPr>
    </w:lvl>
    <w:lvl w:ilvl="3" w:tplc="610A2344">
      <w:start w:val="1"/>
      <w:numFmt w:val="decimal"/>
      <w:lvlText w:val="%4."/>
      <w:lvlJc w:val="left"/>
      <w:pPr>
        <w:ind w:left="2804" w:hanging="360"/>
      </w:pPr>
    </w:lvl>
    <w:lvl w:ilvl="4" w:tplc="2926F152">
      <w:start w:val="1"/>
      <w:numFmt w:val="lowerLetter"/>
      <w:lvlText w:val="%5."/>
      <w:lvlJc w:val="left"/>
      <w:pPr>
        <w:ind w:left="3524" w:hanging="360"/>
      </w:pPr>
    </w:lvl>
    <w:lvl w:ilvl="5" w:tplc="6E94BDAE">
      <w:start w:val="1"/>
      <w:numFmt w:val="lowerRoman"/>
      <w:lvlText w:val="%6."/>
      <w:lvlJc w:val="right"/>
      <w:pPr>
        <w:ind w:left="4244" w:hanging="180"/>
      </w:pPr>
    </w:lvl>
    <w:lvl w:ilvl="6" w:tplc="37225C84">
      <w:start w:val="1"/>
      <w:numFmt w:val="decimal"/>
      <w:lvlText w:val="%7."/>
      <w:lvlJc w:val="left"/>
      <w:pPr>
        <w:ind w:left="4964" w:hanging="360"/>
      </w:pPr>
    </w:lvl>
    <w:lvl w:ilvl="7" w:tplc="B802DBC0">
      <w:start w:val="1"/>
      <w:numFmt w:val="lowerLetter"/>
      <w:lvlText w:val="%8."/>
      <w:lvlJc w:val="left"/>
      <w:pPr>
        <w:ind w:left="5684" w:hanging="360"/>
      </w:pPr>
    </w:lvl>
    <w:lvl w:ilvl="8" w:tplc="0616D3D4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090B2D"/>
    <w:multiLevelType w:val="hybridMultilevel"/>
    <w:tmpl w:val="EE90A978"/>
    <w:lvl w:ilvl="0" w:tplc="D292E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2757E">
      <w:start w:val="1"/>
      <w:numFmt w:val="lowerLetter"/>
      <w:lvlText w:val="%2."/>
      <w:lvlJc w:val="left"/>
      <w:pPr>
        <w:ind w:left="1440" w:hanging="360"/>
      </w:pPr>
    </w:lvl>
    <w:lvl w:ilvl="2" w:tplc="D3B8B666">
      <w:start w:val="1"/>
      <w:numFmt w:val="lowerRoman"/>
      <w:lvlText w:val="%3."/>
      <w:lvlJc w:val="right"/>
      <w:pPr>
        <w:ind w:left="2160" w:hanging="180"/>
      </w:pPr>
    </w:lvl>
    <w:lvl w:ilvl="3" w:tplc="200CD3C0">
      <w:start w:val="1"/>
      <w:numFmt w:val="decimal"/>
      <w:lvlText w:val="%4."/>
      <w:lvlJc w:val="left"/>
      <w:pPr>
        <w:ind w:left="2880" w:hanging="360"/>
      </w:pPr>
    </w:lvl>
    <w:lvl w:ilvl="4" w:tplc="2D34A292">
      <w:start w:val="1"/>
      <w:numFmt w:val="lowerLetter"/>
      <w:lvlText w:val="%5."/>
      <w:lvlJc w:val="left"/>
      <w:pPr>
        <w:ind w:left="3600" w:hanging="360"/>
      </w:pPr>
    </w:lvl>
    <w:lvl w:ilvl="5" w:tplc="27287E6A">
      <w:start w:val="1"/>
      <w:numFmt w:val="lowerRoman"/>
      <w:lvlText w:val="%6."/>
      <w:lvlJc w:val="right"/>
      <w:pPr>
        <w:ind w:left="4320" w:hanging="180"/>
      </w:pPr>
    </w:lvl>
    <w:lvl w:ilvl="6" w:tplc="060674D4">
      <w:start w:val="1"/>
      <w:numFmt w:val="decimal"/>
      <w:lvlText w:val="%7."/>
      <w:lvlJc w:val="left"/>
      <w:pPr>
        <w:ind w:left="5040" w:hanging="360"/>
      </w:pPr>
    </w:lvl>
    <w:lvl w:ilvl="7" w:tplc="62F4C5B8">
      <w:start w:val="1"/>
      <w:numFmt w:val="lowerLetter"/>
      <w:lvlText w:val="%8."/>
      <w:lvlJc w:val="left"/>
      <w:pPr>
        <w:ind w:left="5760" w:hanging="360"/>
      </w:pPr>
    </w:lvl>
    <w:lvl w:ilvl="8" w:tplc="B8FAED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DF7"/>
    <w:multiLevelType w:val="hybridMultilevel"/>
    <w:tmpl w:val="CC44F8C2"/>
    <w:lvl w:ilvl="0" w:tplc="DF5A1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0AC36">
      <w:start w:val="1"/>
      <w:numFmt w:val="lowerLetter"/>
      <w:lvlText w:val="%2."/>
      <w:lvlJc w:val="left"/>
      <w:pPr>
        <w:ind w:left="1440" w:hanging="360"/>
      </w:pPr>
    </w:lvl>
    <w:lvl w:ilvl="2" w:tplc="31003EB2">
      <w:start w:val="1"/>
      <w:numFmt w:val="lowerRoman"/>
      <w:lvlText w:val="%3."/>
      <w:lvlJc w:val="right"/>
      <w:pPr>
        <w:ind w:left="2160" w:hanging="180"/>
      </w:pPr>
    </w:lvl>
    <w:lvl w:ilvl="3" w:tplc="BE3C80B2">
      <w:start w:val="1"/>
      <w:numFmt w:val="decimal"/>
      <w:lvlText w:val="%4."/>
      <w:lvlJc w:val="left"/>
      <w:pPr>
        <w:ind w:left="2880" w:hanging="360"/>
      </w:pPr>
    </w:lvl>
    <w:lvl w:ilvl="4" w:tplc="A6628032">
      <w:start w:val="1"/>
      <w:numFmt w:val="lowerLetter"/>
      <w:lvlText w:val="%5."/>
      <w:lvlJc w:val="left"/>
      <w:pPr>
        <w:ind w:left="3600" w:hanging="360"/>
      </w:pPr>
    </w:lvl>
    <w:lvl w:ilvl="5" w:tplc="9FDC6B8E">
      <w:start w:val="1"/>
      <w:numFmt w:val="lowerRoman"/>
      <w:lvlText w:val="%6."/>
      <w:lvlJc w:val="right"/>
      <w:pPr>
        <w:ind w:left="4320" w:hanging="180"/>
      </w:pPr>
    </w:lvl>
    <w:lvl w:ilvl="6" w:tplc="B8A8A72C">
      <w:start w:val="1"/>
      <w:numFmt w:val="decimal"/>
      <w:lvlText w:val="%7."/>
      <w:lvlJc w:val="left"/>
      <w:pPr>
        <w:ind w:left="5040" w:hanging="360"/>
      </w:pPr>
    </w:lvl>
    <w:lvl w:ilvl="7" w:tplc="DA2A3ABE">
      <w:start w:val="1"/>
      <w:numFmt w:val="lowerLetter"/>
      <w:lvlText w:val="%8."/>
      <w:lvlJc w:val="left"/>
      <w:pPr>
        <w:ind w:left="5760" w:hanging="360"/>
      </w:pPr>
    </w:lvl>
    <w:lvl w:ilvl="8" w:tplc="EF1CBC3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04E7F"/>
    <w:multiLevelType w:val="multilevel"/>
    <w:tmpl w:val="04429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6C53BB"/>
    <w:multiLevelType w:val="multilevel"/>
    <w:tmpl w:val="80A0E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AC3666"/>
    <w:multiLevelType w:val="multilevel"/>
    <w:tmpl w:val="89E83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9F1F62"/>
    <w:multiLevelType w:val="multilevel"/>
    <w:tmpl w:val="E7682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B53540"/>
    <w:multiLevelType w:val="hybridMultilevel"/>
    <w:tmpl w:val="1ED8ABDA"/>
    <w:lvl w:ilvl="0" w:tplc="3EBC3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83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68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0B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654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82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8DF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A8B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936C88"/>
    <w:multiLevelType w:val="hybridMultilevel"/>
    <w:tmpl w:val="FA22B0F0"/>
    <w:lvl w:ilvl="0" w:tplc="688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CF2AEA2">
      <w:start w:val="1"/>
      <w:numFmt w:val="lowerLetter"/>
      <w:lvlText w:val="%2."/>
      <w:lvlJc w:val="left"/>
      <w:pPr>
        <w:ind w:left="1364" w:hanging="360"/>
      </w:pPr>
    </w:lvl>
    <w:lvl w:ilvl="2" w:tplc="31365042">
      <w:start w:val="1"/>
      <w:numFmt w:val="lowerRoman"/>
      <w:lvlText w:val="%3."/>
      <w:lvlJc w:val="right"/>
      <w:pPr>
        <w:ind w:left="2084" w:hanging="180"/>
      </w:pPr>
    </w:lvl>
    <w:lvl w:ilvl="3" w:tplc="7E5273AC">
      <w:start w:val="1"/>
      <w:numFmt w:val="decimal"/>
      <w:lvlText w:val="%4."/>
      <w:lvlJc w:val="left"/>
      <w:pPr>
        <w:ind w:left="2804" w:hanging="360"/>
      </w:pPr>
    </w:lvl>
    <w:lvl w:ilvl="4" w:tplc="30F0D2A0">
      <w:start w:val="1"/>
      <w:numFmt w:val="lowerLetter"/>
      <w:lvlText w:val="%5."/>
      <w:lvlJc w:val="left"/>
      <w:pPr>
        <w:ind w:left="3524" w:hanging="360"/>
      </w:pPr>
    </w:lvl>
    <w:lvl w:ilvl="5" w:tplc="F94EA8D8">
      <w:start w:val="1"/>
      <w:numFmt w:val="lowerRoman"/>
      <w:lvlText w:val="%6."/>
      <w:lvlJc w:val="right"/>
      <w:pPr>
        <w:ind w:left="4244" w:hanging="180"/>
      </w:pPr>
    </w:lvl>
    <w:lvl w:ilvl="6" w:tplc="15EAEF82">
      <w:start w:val="1"/>
      <w:numFmt w:val="decimal"/>
      <w:lvlText w:val="%7."/>
      <w:lvlJc w:val="left"/>
      <w:pPr>
        <w:ind w:left="4964" w:hanging="360"/>
      </w:pPr>
    </w:lvl>
    <w:lvl w:ilvl="7" w:tplc="0D6E7580">
      <w:start w:val="1"/>
      <w:numFmt w:val="lowerLetter"/>
      <w:lvlText w:val="%8."/>
      <w:lvlJc w:val="left"/>
      <w:pPr>
        <w:ind w:left="5684" w:hanging="360"/>
      </w:pPr>
    </w:lvl>
    <w:lvl w:ilvl="8" w:tplc="3CCA6BAC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E01EE"/>
    <w:multiLevelType w:val="multilevel"/>
    <w:tmpl w:val="EB5605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30"/>
  </w:num>
  <w:num w:numId="5">
    <w:abstractNumId w:val="0"/>
  </w:num>
  <w:num w:numId="6">
    <w:abstractNumId w:val="9"/>
  </w:num>
  <w:num w:numId="7">
    <w:abstractNumId w:val="19"/>
  </w:num>
  <w:num w:numId="8">
    <w:abstractNumId w:val="29"/>
  </w:num>
  <w:num w:numId="9">
    <w:abstractNumId w:val="20"/>
  </w:num>
  <w:num w:numId="10">
    <w:abstractNumId w:val="16"/>
  </w:num>
  <w:num w:numId="11">
    <w:abstractNumId w:val="11"/>
  </w:num>
  <w:num w:numId="12">
    <w:abstractNumId w:val="35"/>
  </w:num>
  <w:num w:numId="13">
    <w:abstractNumId w:val="12"/>
  </w:num>
  <w:num w:numId="14">
    <w:abstractNumId w:val="25"/>
  </w:num>
  <w:num w:numId="15">
    <w:abstractNumId w:val="22"/>
  </w:num>
  <w:num w:numId="16">
    <w:abstractNumId w:val="2"/>
  </w:num>
  <w:num w:numId="17">
    <w:abstractNumId w:val="33"/>
  </w:num>
  <w:num w:numId="18">
    <w:abstractNumId w:val="23"/>
  </w:num>
  <w:num w:numId="19">
    <w:abstractNumId w:val="21"/>
  </w:num>
  <w:num w:numId="20">
    <w:abstractNumId w:val="6"/>
  </w:num>
  <w:num w:numId="21">
    <w:abstractNumId w:val="27"/>
  </w:num>
  <w:num w:numId="22">
    <w:abstractNumId w:val="34"/>
  </w:num>
  <w:num w:numId="23">
    <w:abstractNumId w:val="1"/>
  </w:num>
  <w:num w:numId="24">
    <w:abstractNumId w:val="4"/>
  </w:num>
  <w:num w:numId="25">
    <w:abstractNumId w:val="17"/>
  </w:num>
  <w:num w:numId="26">
    <w:abstractNumId w:val="10"/>
  </w:num>
  <w:num w:numId="27">
    <w:abstractNumId w:val="8"/>
  </w:num>
  <w:num w:numId="28">
    <w:abstractNumId w:val="13"/>
  </w:num>
  <w:num w:numId="29">
    <w:abstractNumId w:val="5"/>
  </w:num>
  <w:num w:numId="30">
    <w:abstractNumId w:val="3"/>
  </w:num>
  <w:num w:numId="31">
    <w:abstractNumId w:val="14"/>
  </w:num>
  <w:num w:numId="32">
    <w:abstractNumId w:val="31"/>
  </w:num>
  <w:num w:numId="33">
    <w:abstractNumId w:val="24"/>
  </w:num>
  <w:num w:numId="34">
    <w:abstractNumId w:val="36"/>
  </w:num>
  <w:num w:numId="35">
    <w:abstractNumId w:val="28"/>
  </w:num>
  <w:num w:numId="36">
    <w:abstractNumId w:val="26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460"/>
    <w:rsid w:val="002E22A9"/>
    <w:rsid w:val="0057012F"/>
    <w:rsid w:val="00AF6460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F4CF"/>
  <w15:docId w15:val="{B3D9E8F3-40C8-4D30-AD40-869AB95E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7">
    <w:name w:val="List Paragraph"/>
    <w:basedOn w:val="a"/>
    <w:link w:val="af8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8">
    <w:name w:val="Абзац списка Знак"/>
    <w:basedOn w:val="a0"/>
    <w:link w:val="af7"/>
    <w:uiPriority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4">
    <w:name w:val="Основной шрифт абзаца1"/>
  </w:style>
  <w:style w:type="paragraph" w:styleId="aff">
    <w:name w:val="Title"/>
    <w:basedOn w:val="a"/>
    <w:next w:val="aff0"/>
    <w:link w:val="aff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1">
    <w:name w:val="Заголовок Знак"/>
    <w:basedOn w:val="a0"/>
    <w:link w:val="aff"/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Body Text"/>
    <w:basedOn w:val="a"/>
    <w:link w:val="aff2"/>
    <w:pPr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2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List"/>
    <w:basedOn w:val="aff0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f4">
    <w:name w:val="Body Text Indent"/>
    <w:basedOn w:val="a"/>
    <w:link w:val="af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6">
    <w:name w:val="Содержимое врезки"/>
    <w:basedOn w:val="aff0"/>
  </w:style>
  <w:style w:type="paragraph" w:customStyle="1" w:styleId="ConsNonformat">
    <w:name w:val="ConsNonformat"/>
    <w:pPr>
      <w:widowControl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f7">
    <w:name w:val="Третий уровень (a)"/>
    <w:basedOn w:val="110"/>
    <w:qFormat/>
    <w:pPr>
      <w:ind w:left="1497" w:hanging="504"/>
    </w:pPr>
  </w:style>
  <w:style w:type="paragraph" w:customStyle="1" w:styleId="110">
    <w:name w:val="Второй уровень (1.1.)"/>
    <w:basedOn w:val="1"/>
    <w:pPr>
      <w:keepNext w:val="0"/>
      <w:numPr>
        <w:numId w:val="0"/>
      </w:numPr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f8">
    <w:name w:val="No Spacing"/>
    <w:qFormat/>
    <w:rPr>
      <w:sz w:val="22"/>
      <w:szCs w:val="22"/>
      <w:lang w:eastAsia="en-US"/>
    </w:rPr>
  </w:style>
  <w:style w:type="paragraph" w:styleId="aff9">
    <w:name w:val="Subtitle"/>
    <w:basedOn w:val="a"/>
    <w:next w:val="a"/>
    <w:link w:val="af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a">
    <w:name w:val="Подзаголовок Знак"/>
    <w:basedOn w:val="a0"/>
    <w:link w:val="aff9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7">
    <w:name w:val="Сетка таблицы1"/>
    <w:basedOn w:val="a1"/>
    <w:next w:val="af4"/>
    <w:uiPriority w:val="39"/>
    <w:pPr>
      <w:jc w:val="center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5BE0-3440-4327-9673-847FA1DC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12044</Words>
  <Characters>68652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</Company>
  <LinksUpToDate>false</LinksUpToDate>
  <CharactersWithSpaces>80535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Воложанина</cp:lastModifiedBy>
  <cp:revision>57</cp:revision>
  <dcterms:created xsi:type="dcterms:W3CDTF">2025-04-03T08:01:00Z</dcterms:created>
  <dcterms:modified xsi:type="dcterms:W3CDTF">2025-07-17T08:38:00Z</dcterms:modified>
</cp:coreProperties>
</file>